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4D" w:rsidRDefault="00B2654D" w:rsidP="00B2654D">
      <w:pPr>
        <w:rPr>
          <w:rFonts w:ascii="Arial" w:hAnsi="Arial" w:cs="Arial"/>
          <w:sz w:val="24"/>
          <w:szCs w:val="24"/>
        </w:rPr>
      </w:pPr>
      <w:r>
        <w:rPr>
          <w:rFonts w:ascii="Arial" w:hAnsi="Arial" w:cs="Arial"/>
          <w:sz w:val="24"/>
          <w:szCs w:val="24"/>
        </w:rPr>
        <w:t>Hans Waldenfels</w:t>
      </w:r>
      <w:r w:rsidR="000B1DA6">
        <w:rPr>
          <w:rFonts w:ascii="Arial" w:hAnsi="Arial" w:cs="Arial"/>
          <w:sz w:val="24"/>
          <w:szCs w:val="24"/>
        </w:rPr>
        <w:tab/>
      </w:r>
      <w:r w:rsidR="000B1DA6">
        <w:rPr>
          <w:rFonts w:ascii="Arial" w:hAnsi="Arial" w:cs="Arial"/>
          <w:sz w:val="24"/>
          <w:szCs w:val="24"/>
        </w:rPr>
        <w:tab/>
      </w:r>
      <w:r w:rsidR="000B1DA6">
        <w:rPr>
          <w:rFonts w:ascii="Arial" w:hAnsi="Arial" w:cs="Arial"/>
          <w:sz w:val="24"/>
          <w:szCs w:val="24"/>
        </w:rPr>
        <w:tab/>
      </w:r>
      <w:r w:rsidR="000B1DA6">
        <w:rPr>
          <w:rFonts w:ascii="Arial" w:hAnsi="Arial" w:cs="Arial"/>
          <w:sz w:val="24"/>
          <w:szCs w:val="24"/>
        </w:rPr>
        <w:tab/>
      </w:r>
      <w:r w:rsidR="000B1DA6">
        <w:rPr>
          <w:rFonts w:ascii="Arial" w:hAnsi="Arial" w:cs="Arial"/>
          <w:sz w:val="24"/>
          <w:szCs w:val="24"/>
        </w:rPr>
        <w:tab/>
      </w:r>
      <w:r w:rsidR="000B1DA6">
        <w:rPr>
          <w:rFonts w:ascii="Arial" w:hAnsi="Arial" w:cs="Arial"/>
          <w:sz w:val="24"/>
          <w:szCs w:val="24"/>
        </w:rPr>
        <w:tab/>
      </w:r>
      <w:r w:rsidR="000B1DA6">
        <w:rPr>
          <w:rFonts w:ascii="Arial" w:hAnsi="Arial" w:cs="Arial"/>
          <w:sz w:val="24"/>
          <w:szCs w:val="24"/>
        </w:rPr>
        <w:tab/>
        <w:t xml:space="preserve">          </w:t>
      </w:r>
      <w:bookmarkStart w:id="0" w:name="_GoBack"/>
      <w:bookmarkEnd w:id="0"/>
      <w:r w:rsidR="000B1DA6">
        <w:rPr>
          <w:rFonts w:ascii="Arial" w:hAnsi="Arial" w:cs="Arial"/>
          <w:sz w:val="24"/>
          <w:szCs w:val="24"/>
        </w:rPr>
        <w:t>Siegen, 10.1.2013</w:t>
      </w:r>
    </w:p>
    <w:p w:rsidR="00B2654D" w:rsidRDefault="00A84E3C" w:rsidP="00B2654D">
      <w:pPr>
        <w:spacing w:after="0" w:line="240" w:lineRule="auto"/>
        <w:jc w:val="center"/>
        <w:rPr>
          <w:rFonts w:ascii="Arial" w:hAnsi="Arial" w:cs="Arial"/>
          <w:b/>
          <w:sz w:val="28"/>
          <w:szCs w:val="28"/>
        </w:rPr>
      </w:pPr>
      <w:r>
        <w:rPr>
          <w:rFonts w:ascii="Arial" w:hAnsi="Arial" w:cs="Arial"/>
          <w:b/>
          <w:sz w:val="28"/>
          <w:szCs w:val="28"/>
        </w:rPr>
        <w:t>Politik und Gewalt</w:t>
      </w:r>
    </w:p>
    <w:p w:rsidR="00372C7E" w:rsidRDefault="00A84E3C" w:rsidP="00B2654D">
      <w:pPr>
        <w:spacing w:after="0" w:line="240" w:lineRule="auto"/>
        <w:jc w:val="center"/>
        <w:rPr>
          <w:rFonts w:ascii="Arial" w:hAnsi="Arial" w:cs="Arial"/>
          <w:b/>
          <w:sz w:val="28"/>
          <w:szCs w:val="28"/>
        </w:rPr>
      </w:pPr>
      <w:r>
        <w:rPr>
          <w:rFonts w:ascii="Arial" w:hAnsi="Arial" w:cs="Arial"/>
          <w:b/>
          <w:sz w:val="28"/>
          <w:szCs w:val="28"/>
        </w:rPr>
        <w:t xml:space="preserve"> in den nicht-monotheistischen Weltreligionen</w:t>
      </w:r>
    </w:p>
    <w:p w:rsidR="00B2654D" w:rsidRDefault="00B2654D" w:rsidP="00B2654D">
      <w:pPr>
        <w:spacing w:after="0" w:line="240" w:lineRule="auto"/>
        <w:jc w:val="center"/>
        <w:rPr>
          <w:rFonts w:ascii="Arial" w:hAnsi="Arial" w:cs="Arial"/>
          <w:b/>
          <w:sz w:val="28"/>
          <w:szCs w:val="28"/>
        </w:rPr>
      </w:pPr>
    </w:p>
    <w:p w:rsidR="00B2654D" w:rsidRDefault="00B2654D" w:rsidP="00B2654D">
      <w:pPr>
        <w:spacing w:after="0" w:line="240" w:lineRule="auto"/>
        <w:jc w:val="center"/>
        <w:rPr>
          <w:rFonts w:ascii="Arial" w:hAnsi="Arial" w:cs="Arial"/>
          <w:b/>
          <w:sz w:val="28"/>
          <w:szCs w:val="28"/>
        </w:rPr>
      </w:pPr>
    </w:p>
    <w:p w:rsidR="00B2654D" w:rsidRDefault="00B2654D" w:rsidP="00A96119">
      <w:pPr>
        <w:spacing w:after="0" w:line="360" w:lineRule="auto"/>
        <w:jc w:val="both"/>
        <w:rPr>
          <w:rFonts w:ascii="Arial" w:hAnsi="Arial" w:cs="Arial"/>
          <w:b/>
          <w:i/>
          <w:sz w:val="24"/>
          <w:szCs w:val="24"/>
        </w:rPr>
      </w:pPr>
      <w:r>
        <w:rPr>
          <w:rFonts w:ascii="Arial" w:hAnsi="Arial" w:cs="Arial"/>
          <w:b/>
          <w:i/>
          <w:sz w:val="24"/>
          <w:szCs w:val="24"/>
        </w:rPr>
        <w:t>Zum Umfeld der Fragestellung</w:t>
      </w:r>
    </w:p>
    <w:p w:rsidR="00C06E17" w:rsidRDefault="00F155B2" w:rsidP="00A96119">
      <w:pPr>
        <w:spacing w:after="0" w:line="360" w:lineRule="auto"/>
        <w:jc w:val="both"/>
        <w:rPr>
          <w:rFonts w:ascii="Arial" w:hAnsi="Arial" w:cs="Arial"/>
          <w:sz w:val="24"/>
          <w:szCs w:val="24"/>
        </w:rPr>
      </w:pPr>
      <w:r>
        <w:rPr>
          <w:rFonts w:ascii="Arial" w:hAnsi="Arial" w:cs="Arial"/>
          <w:sz w:val="24"/>
          <w:szCs w:val="24"/>
        </w:rPr>
        <w:t>Das Thema wirkt auf mehrfache Weise wie ein Fremdkörper im Umkreis heutige</w:t>
      </w:r>
      <w:r w:rsidR="00B2654D">
        <w:rPr>
          <w:rFonts w:ascii="Arial" w:hAnsi="Arial" w:cs="Arial"/>
          <w:sz w:val="24"/>
          <w:szCs w:val="24"/>
        </w:rPr>
        <w:t>r</w:t>
      </w:r>
      <w:r>
        <w:rPr>
          <w:rFonts w:ascii="Arial" w:hAnsi="Arial" w:cs="Arial"/>
          <w:sz w:val="24"/>
          <w:szCs w:val="24"/>
        </w:rPr>
        <w:t xml:space="preserve"> Religions</w:t>
      </w:r>
      <w:r w:rsidR="00A96119">
        <w:rPr>
          <w:rFonts w:ascii="Arial" w:hAnsi="Arial" w:cs="Arial"/>
          <w:sz w:val="24"/>
          <w:szCs w:val="24"/>
        </w:rPr>
        <w:t>diskurse</w:t>
      </w:r>
      <w:r>
        <w:rPr>
          <w:rFonts w:ascii="Arial" w:hAnsi="Arial" w:cs="Arial"/>
          <w:sz w:val="24"/>
          <w:szCs w:val="24"/>
        </w:rPr>
        <w:t>.</w:t>
      </w:r>
      <w:r w:rsidR="00B10735">
        <w:rPr>
          <w:rFonts w:ascii="Arial" w:hAnsi="Arial" w:cs="Arial"/>
          <w:sz w:val="24"/>
          <w:szCs w:val="24"/>
        </w:rPr>
        <w:t xml:space="preserve"> </w:t>
      </w:r>
      <w:r w:rsidR="00A96119">
        <w:rPr>
          <w:rFonts w:ascii="Arial" w:hAnsi="Arial" w:cs="Arial"/>
          <w:sz w:val="24"/>
          <w:szCs w:val="24"/>
        </w:rPr>
        <w:t>In unserer Kulturwelt b</w:t>
      </w:r>
      <w:r w:rsidR="00C06E17">
        <w:rPr>
          <w:rFonts w:ascii="Arial" w:hAnsi="Arial" w:cs="Arial"/>
          <w:sz w:val="24"/>
          <w:szCs w:val="24"/>
        </w:rPr>
        <w:t>etraf</w:t>
      </w:r>
      <w:r w:rsidR="00A96119">
        <w:rPr>
          <w:rFonts w:ascii="Arial" w:hAnsi="Arial" w:cs="Arial"/>
          <w:sz w:val="24"/>
          <w:szCs w:val="24"/>
        </w:rPr>
        <w:t xml:space="preserve"> die Gewaltproblematik </w:t>
      </w:r>
      <w:r w:rsidR="006D1FDB">
        <w:rPr>
          <w:rFonts w:ascii="Arial" w:hAnsi="Arial" w:cs="Arial"/>
          <w:sz w:val="24"/>
          <w:szCs w:val="24"/>
        </w:rPr>
        <w:t>lange</w:t>
      </w:r>
      <w:r w:rsidR="00A96119">
        <w:rPr>
          <w:rFonts w:ascii="Arial" w:hAnsi="Arial" w:cs="Arial"/>
          <w:sz w:val="24"/>
          <w:szCs w:val="24"/>
        </w:rPr>
        <w:t xml:space="preserve"> vorrangig die jüdische-christliche Welt. </w:t>
      </w:r>
      <w:r w:rsidR="00013C05">
        <w:rPr>
          <w:rFonts w:ascii="Arial" w:hAnsi="Arial" w:cs="Arial"/>
          <w:sz w:val="24"/>
          <w:szCs w:val="24"/>
        </w:rPr>
        <w:t xml:space="preserve">Franz </w:t>
      </w:r>
      <w:proofErr w:type="spellStart"/>
      <w:r w:rsidR="00013C05">
        <w:rPr>
          <w:rFonts w:ascii="Arial" w:hAnsi="Arial" w:cs="Arial"/>
          <w:sz w:val="24"/>
          <w:szCs w:val="24"/>
        </w:rPr>
        <w:t>Buggle</w:t>
      </w:r>
      <w:proofErr w:type="spellEnd"/>
      <w:r w:rsidR="00013C05">
        <w:rPr>
          <w:rFonts w:ascii="Arial" w:hAnsi="Arial" w:cs="Arial"/>
          <w:sz w:val="24"/>
          <w:szCs w:val="24"/>
        </w:rPr>
        <w:t xml:space="preserve"> (1933-2011) </w:t>
      </w:r>
      <w:r>
        <w:rPr>
          <w:rFonts w:ascii="Arial" w:hAnsi="Arial" w:cs="Arial"/>
          <w:sz w:val="24"/>
          <w:szCs w:val="24"/>
        </w:rPr>
        <w:t>spricht in seinem 199</w:t>
      </w:r>
      <w:r w:rsidR="00013C05">
        <w:rPr>
          <w:rFonts w:ascii="Arial" w:hAnsi="Arial" w:cs="Arial"/>
          <w:sz w:val="24"/>
          <w:szCs w:val="24"/>
        </w:rPr>
        <w:t>2</w:t>
      </w:r>
      <w:r>
        <w:rPr>
          <w:rFonts w:ascii="Arial" w:hAnsi="Arial" w:cs="Arial"/>
          <w:sz w:val="24"/>
          <w:szCs w:val="24"/>
        </w:rPr>
        <w:t xml:space="preserve"> e</w:t>
      </w:r>
      <w:r>
        <w:rPr>
          <w:rFonts w:ascii="Arial" w:hAnsi="Arial" w:cs="Arial"/>
          <w:sz w:val="24"/>
          <w:szCs w:val="24"/>
        </w:rPr>
        <w:t>r</w:t>
      </w:r>
      <w:r>
        <w:rPr>
          <w:rFonts w:ascii="Arial" w:hAnsi="Arial" w:cs="Arial"/>
          <w:sz w:val="24"/>
          <w:szCs w:val="24"/>
        </w:rPr>
        <w:t xml:space="preserve">schienenen Buch </w:t>
      </w:r>
      <w:r>
        <w:rPr>
          <w:rFonts w:ascii="Arial" w:hAnsi="Arial" w:cs="Arial"/>
          <w:i/>
          <w:sz w:val="24"/>
          <w:szCs w:val="24"/>
        </w:rPr>
        <w:t>Denn sie wissen nicht, was sie glauben</w:t>
      </w:r>
      <w:r>
        <w:rPr>
          <w:rStyle w:val="Funotenzeichen"/>
          <w:rFonts w:ascii="Arial" w:hAnsi="Arial" w:cs="Arial"/>
          <w:i/>
          <w:sz w:val="24"/>
          <w:szCs w:val="24"/>
        </w:rPr>
        <w:footnoteReference w:id="1"/>
      </w:r>
      <w:r w:rsidR="00013C05">
        <w:rPr>
          <w:rFonts w:ascii="Arial" w:hAnsi="Arial" w:cs="Arial"/>
          <w:sz w:val="24"/>
          <w:szCs w:val="24"/>
        </w:rPr>
        <w:t xml:space="preserve"> von einem verdrängten Skandal, weil die Bibel „ein zutiefst gewalttätig-inhumanes Buch“ ist. Georg </w:t>
      </w:r>
      <w:proofErr w:type="spellStart"/>
      <w:r w:rsidR="00013C05">
        <w:rPr>
          <w:rFonts w:ascii="Arial" w:hAnsi="Arial" w:cs="Arial"/>
          <w:sz w:val="24"/>
          <w:szCs w:val="24"/>
        </w:rPr>
        <w:t>Baudler</w:t>
      </w:r>
      <w:proofErr w:type="spellEnd"/>
      <w:r w:rsidR="00013C05">
        <w:rPr>
          <w:rFonts w:ascii="Arial" w:hAnsi="Arial" w:cs="Arial"/>
          <w:sz w:val="24"/>
          <w:szCs w:val="24"/>
        </w:rPr>
        <w:t xml:space="preserve"> fragt im Anschluss an die zahlreichen Veröffentlichungen von René Girard zur G</w:t>
      </w:r>
      <w:r w:rsidR="00013C05">
        <w:rPr>
          <w:rFonts w:ascii="Arial" w:hAnsi="Arial" w:cs="Arial"/>
          <w:sz w:val="24"/>
          <w:szCs w:val="24"/>
        </w:rPr>
        <w:t>e</w:t>
      </w:r>
      <w:r w:rsidR="00013C05">
        <w:rPr>
          <w:rFonts w:ascii="Arial" w:hAnsi="Arial" w:cs="Arial"/>
          <w:sz w:val="24"/>
          <w:szCs w:val="24"/>
        </w:rPr>
        <w:t xml:space="preserve">walt und ihrer Verflochtenheit mit der Religion </w:t>
      </w:r>
      <w:r w:rsidR="00013C05">
        <w:rPr>
          <w:rFonts w:ascii="Arial" w:hAnsi="Arial" w:cs="Arial"/>
          <w:i/>
          <w:sz w:val="24"/>
          <w:szCs w:val="24"/>
        </w:rPr>
        <w:t>Töten oder Lieben</w:t>
      </w:r>
      <w:r w:rsidR="00013C05">
        <w:rPr>
          <w:rStyle w:val="Funotenzeichen"/>
          <w:rFonts w:ascii="Arial" w:hAnsi="Arial" w:cs="Arial"/>
          <w:i/>
          <w:sz w:val="24"/>
          <w:szCs w:val="24"/>
        </w:rPr>
        <w:footnoteReference w:id="2"/>
      </w:r>
      <w:r w:rsidR="00013C05">
        <w:rPr>
          <w:rFonts w:ascii="Arial" w:hAnsi="Arial" w:cs="Arial"/>
          <w:i/>
          <w:sz w:val="24"/>
          <w:szCs w:val="24"/>
        </w:rPr>
        <w:t xml:space="preserve"> </w:t>
      </w:r>
      <w:r w:rsidR="00013C05">
        <w:rPr>
          <w:rFonts w:ascii="Arial" w:hAnsi="Arial" w:cs="Arial"/>
          <w:sz w:val="24"/>
          <w:szCs w:val="24"/>
        </w:rPr>
        <w:t xml:space="preserve">und richtet dabei gleichfalls den Blick auf das biblische Umfeld. </w:t>
      </w:r>
      <w:r w:rsidR="00C00F81">
        <w:rPr>
          <w:rFonts w:ascii="Arial" w:hAnsi="Arial" w:cs="Arial"/>
          <w:sz w:val="24"/>
          <w:szCs w:val="24"/>
        </w:rPr>
        <w:t xml:space="preserve">Der Ägyptologe Jan Assmann </w:t>
      </w:r>
      <w:r w:rsidR="00B10735">
        <w:rPr>
          <w:rFonts w:ascii="Arial" w:hAnsi="Arial" w:cs="Arial"/>
          <w:sz w:val="24"/>
          <w:szCs w:val="24"/>
        </w:rPr>
        <w:t>positi</w:t>
      </w:r>
      <w:r w:rsidR="00B10735">
        <w:rPr>
          <w:rFonts w:ascii="Arial" w:hAnsi="Arial" w:cs="Arial"/>
          <w:sz w:val="24"/>
          <w:szCs w:val="24"/>
        </w:rPr>
        <w:t>o</w:t>
      </w:r>
      <w:r w:rsidR="00B10735">
        <w:rPr>
          <w:rFonts w:ascii="Arial" w:hAnsi="Arial" w:cs="Arial"/>
          <w:sz w:val="24"/>
          <w:szCs w:val="24"/>
        </w:rPr>
        <w:t>niert Mose in das ägyptische Umfeld und macht den Wahrheitsanspruch des Mon</w:t>
      </w:r>
      <w:r w:rsidR="00B10735">
        <w:rPr>
          <w:rFonts w:ascii="Arial" w:hAnsi="Arial" w:cs="Arial"/>
          <w:sz w:val="24"/>
          <w:szCs w:val="24"/>
        </w:rPr>
        <w:t>o</w:t>
      </w:r>
      <w:r w:rsidR="00B10735">
        <w:rPr>
          <w:rFonts w:ascii="Arial" w:hAnsi="Arial" w:cs="Arial"/>
          <w:sz w:val="24"/>
          <w:szCs w:val="24"/>
        </w:rPr>
        <w:t>theismus zur Wurzel der Gewalt in der Religion</w:t>
      </w:r>
      <w:r w:rsidR="00B10735">
        <w:rPr>
          <w:rStyle w:val="Funotenzeichen"/>
          <w:rFonts w:ascii="Arial" w:hAnsi="Arial" w:cs="Arial"/>
          <w:sz w:val="24"/>
          <w:szCs w:val="24"/>
        </w:rPr>
        <w:footnoteReference w:id="3"/>
      </w:r>
      <w:r w:rsidR="00A96119">
        <w:rPr>
          <w:rFonts w:ascii="Arial" w:hAnsi="Arial" w:cs="Arial"/>
          <w:sz w:val="24"/>
          <w:szCs w:val="24"/>
        </w:rPr>
        <w:t xml:space="preserve">. </w:t>
      </w:r>
    </w:p>
    <w:p w:rsidR="00B2654D" w:rsidRDefault="00C06E17" w:rsidP="00A96119">
      <w:pPr>
        <w:spacing w:after="0" w:line="360" w:lineRule="auto"/>
        <w:jc w:val="both"/>
        <w:rPr>
          <w:rFonts w:ascii="Arial" w:hAnsi="Arial" w:cs="Arial"/>
          <w:sz w:val="24"/>
          <w:szCs w:val="24"/>
        </w:rPr>
      </w:pPr>
      <w:r>
        <w:rPr>
          <w:rFonts w:ascii="Arial" w:hAnsi="Arial" w:cs="Arial"/>
          <w:sz w:val="24"/>
          <w:szCs w:val="24"/>
        </w:rPr>
        <w:t>Das Thema erlangte verschärfte Brisanz nach de</w:t>
      </w:r>
      <w:r w:rsidR="00B2654D">
        <w:rPr>
          <w:rFonts w:ascii="Arial" w:hAnsi="Arial" w:cs="Arial"/>
          <w:sz w:val="24"/>
          <w:szCs w:val="24"/>
        </w:rPr>
        <w:t>n</w:t>
      </w:r>
      <w:r>
        <w:rPr>
          <w:rFonts w:ascii="Arial" w:hAnsi="Arial" w:cs="Arial"/>
          <w:sz w:val="24"/>
          <w:szCs w:val="24"/>
        </w:rPr>
        <w:t xml:space="preserve"> </w:t>
      </w:r>
      <w:r w:rsidR="00B2654D">
        <w:rPr>
          <w:rFonts w:ascii="Arial" w:hAnsi="Arial" w:cs="Arial"/>
          <w:sz w:val="24"/>
          <w:szCs w:val="24"/>
        </w:rPr>
        <w:t xml:space="preserve">Terroranschlägen am </w:t>
      </w:r>
      <w:r>
        <w:rPr>
          <w:rFonts w:ascii="Arial" w:hAnsi="Arial" w:cs="Arial"/>
          <w:sz w:val="24"/>
          <w:szCs w:val="24"/>
        </w:rPr>
        <w:t>11. Se</w:t>
      </w:r>
      <w:r>
        <w:rPr>
          <w:rFonts w:ascii="Arial" w:hAnsi="Arial" w:cs="Arial"/>
          <w:sz w:val="24"/>
          <w:szCs w:val="24"/>
        </w:rPr>
        <w:t>p</w:t>
      </w:r>
      <w:r>
        <w:rPr>
          <w:rFonts w:ascii="Arial" w:hAnsi="Arial" w:cs="Arial"/>
          <w:sz w:val="24"/>
          <w:szCs w:val="24"/>
        </w:rPr>
        <w:t>tember 20</w:t>
      </w:r>
      <w:r w:rsidR="00B2654D">
        <w:rPr>
          <w:rFonts w:ascii="Arial" w:hAnsi="Arial" w:cs="Arial"/>
          <w:sz w:val="24"/>
          <w:szCs w:val="24"/>
        </w:rPr>
        <w:t xml:space="preserve">01 in New York und Washington. Seither richtet sich der Blick vor allem auf den Islam als eine Religion der Gewalt. Die Nähe zwischen den drei Religionen als abrahamitische Religionen verstärkt </w:t>
      </w:r>
      <w:r w:rsidR="00C5527C">
        <w:rPr>
          <w:rFonts w:ascii="Arial" w:hAnsi="Arial" w:cs="Arial"/>
          <w:sz w:val="24"/>
          <w:szCs w:val="24"/>
        </w:rPr>
        <w:t xml:space="preserve">zugleich </w:t>
      </w:r>
      <w:r w:rsidR="00B2654D">
        <w:rPr>
          <w:rFonts w:ascii="Arial" w:hAnsi="Arial" w:cs="Arial"/>
          <w:sz w:val="24"/>
          <w:szCs w:val="24"/>
        </w:rPr>
        <w:t>die These, dass der Monotheismus</w:t>
      </w:r>
      <w:r w:rsidR="00C5527C">
        <w:rPr>
          <w:rFonts w:ascii="Arial" w:hAnsi="Arial" w:cs="Arial"/>
          <w:sz w:val="24"/>
          <w:szCs w:val="24"/>
        </w:rPr>
        <w:t xml:space="preserve"> auf seiner Rückseite </w:t>
      </w:r>
      <w:r w:rsidR="00B2654D">
        <w:rPr>
          <w:rFonts w:ascii="Arial" w:hAnsi="Arial" w:cs="Arial"/>
          <w:sz w:val="24"/>
          <w:szCs w:val="24"/>
        </w:rPr>
        <w:t xml:space="preserve">für Gewalttätigkeit anfällig ist. </w:t>
      </w:r>
    </w:p>
    <w:p w:rsidR="006D1FDB" w:rsidRDefault="00C5527C" w:rsidP="00A67E03">
      <w:pPr>
        <w:spacing w:after="0" w:line="360" w:lineRule="auto"/>
        <w:jc w:val="both"/>
        <w:rPr>
          <w:rFonts w:ascii="Arial" w:hAnsi="Arial" w:cs="Arial"/>
          <w:sz w:val="24"/>
          <w:szCs w:val="24"/>
        </w:rPr>
      </w:pPr>
      <w:r>
        <w:rPr>
          <w:rFonts w:ascii="Arial" w:hAnsi="Arial" w:cs="Arial"/>
          <w:sz w:val="24"/>
          <w:szCs w:val="24"/>
        </w:rPr>
        <w:t>Umgekehrt schieden die</w:t>
      </w:r>
      <w:r w:rsidR="00A96119">
        <w:rPr>
          <w:rFonts w:ascii="Arial" w:hAnsi="Arial" w:cs="Arial"/>
          <w:sz w:val="24"/>
          <w:szCs w:val="24"/>
        </w:rPr>
        <w:t xml:space="preserve"> nicht-monotheistische Religionen </w:t>
      </w:r>
      <w:r>
        <w:rPr>
          <w:rFonts w:ascii="Arial" w:hAnsi="Arial" w:cs="Arial"/>
          <w:sz w:val="24"/>
          <w:szCs w:val="24"/>
        </w:rPr>
        <w:t xml:space="preserve">lange aus der </w:t>
      </w:r>
      <w:r w:rsidR="00A96119">
        <w:rPr>
          <w:rFonts w:ascii="Arial" w:hAnsi="Arial" w:cs="Arial"/>
          <w:sz w:val="24"/>
          <w:szCs w:val="24"/>
        </w:rPr>
        <w:t xml:space="preserve">Diskussion aus. </w:t>
      </w:r>
      <w:r>
        <w:rPr>
          <w:rFonts w:ascii="Arial" w:hAnsi="Arial" w:cs="Arial"/>
          <w:sz w:val="24"/>
          <w:szCs w:val="24"/>
        </w:rPr>
        <w:t xml:space="preserve">Im Gegenteil verband sich mit den asiatischen Religionen eher das Ideal der Gewaltlosigkeit. Will man sich aber hier nicht mit pauschalen Urteilen begnügen, sind </w:t>
      </w:r>
      <w:r w:rsidR="006D1FDB">
        <w:rPr>
          <w:rFonts w:ascii="Arial" w:hAnsi="Arial" w:cs="Arial"/>
          <w:sz w:val="24"/>
          <w:szCs w:val="24"/>
        </w:rPr>
        <w:t xml:space="preserve">für diesen Beitrag </w:t>
      </w:r>
      <w:r>
        <w:rPr>
          <w:rFonts w:ascii="Arial" w:hAnsi="Arial" w:cs="Arial"/>
          <w:sz w:val="24"/>
          <w:szCs w:val="24"/>
        </w:rPr>
        <w:t>Abgrenzungen von vornherein erforderlich. Wir beschränken uns daher auf die in Indien entstandenen Religionen, den Buddhismus und dessen Mu</w:t>
      </w:r>
      <w:r>
        <w:rPr>
          <w:rFonts w:ascii="Arial" w:hAnsi="Arial" w:cs="Arial"/>
          <w:sz w:val="24"/>
          <w:szCs w:val="24"/>
        </w:rPr>
        <w:t>t</w:t>
      </w:r>
      <w:r>
        <w:rPr>
          <w:rFonts w:ascii="Arial" w:hAnsi="Arial" w:cs="Arial"/>
          <w:sz w:val="24"/>
          <w:szCs w:val="24"/>
        </w:rPr>
        <w:t xml:space="preserve">terboden, der als Hinduismus bezeichnet wird. </w:t>
      </w:r>
    </w:p>
    <w:p w:rsidR="00A96119" w:rsidRDefault="00C5527C" w:rsidP="00A67E03">
      <w:pPr>
        <w:spacing w:after="0" w:line="360" w:lineRule="auto"/>
        <w:jc w:val="both"/>
        <w:rPr>
          <w:rFonts w:ascii="Arial" w:hAnsi="Arial" w:cs="Arial"/>
          <w:sz w:val="24"/>
          <w:szCs w:val="24"/>
        </w:rPr>
      </w:pPr>
      <w:r>
        <w:rPr>
          <w:rFonts w:ascii="Arial" w:hAnsi="Arial" w:cs="Arial"/>
          <w:sz w:val="24"/>
          <w:szCs w:val="24"/>
        </w:rPr>
        <w:t xml:space="preserve">Dass selbst diese Beschränkung ihre Schwierigkeiten bereitet, wird jedem einsichtig, der nach den Ursprüngen dieser Religionen fragt. Während der Buddhismus bei all seinen unterschiedlichen Verzweigungen in der Gestalt des historischen Buddha den </w:t>
      </w:r>
      <w:r>
        <w:rPr>
          <w:rFonts w:ascii="Arial" w:hAnsi="Arial" w:cs="Arial"/>
          <w:sz w:val="24"/>
          <w:szCs w:val="24"/>
        </w:rPr>
        <w:lastRenderedPageBreak/>
        <w:t>Gründer sieht und verehrt, steht die Bezeichnung „Hinduismus</w:t>
      </w:r>
      <w:r w:rsidR="00A67E03">
        <w:rPr>
          <w:rFonts w:ascii="Arial" w:hAnsi="Arial" w:cs="Arial"/>
          <w:sz w:val="24"/>
          <w:szCs w:val="24"/>
        </w:rPr>
        <w:t>“</w:t>
      </w:r>
      <w:r>
        <w:rPr>
          <w:rFonts w:ascii="Arial" w:hAnsi="Arial" w:cs="Arial"/>
          <w:sz w:val="24"/>
          <w:szCs w:val="24"/>
        </w:rPr>
        <w:t xml:space="preserve">  für eine</w:t>
      </w:r>
      <w:r w:rsidR="00A67E03">
        <w:rPr>
          <w:rFonts w:ascii="Arial" w:hAnsi="Arial" w:cs="Arial"/>
          <w:sz w:val="24"/>
          <w:szCs w:val="24"/>
        </w:rPr>
        <w:t>n Religion</w:t>
      </w:r>
      <w:r w:rsidR="00A67E03">
        <w:rPr>
          <w:rFonts w:ascii="Arial" w:hAnsi="Arial" w:cs="Arial"/>
          <w:sz w:val="24"/>
          <w:szCs w:val="24"/>
        </w:rPr>
        <w:t>s</w:t>
      </w:r>
      <w:r w:rsidR="00A67E03">
        <w:rPr>
          <w:rFonts w:ascii="Arial" w:hAnsi="Arial" w:cs="Arial"/>
          <w:sz w:val="24"/>
          <w:szCs w:val="24"/>
        </w:rPr>
        <w:t xml:space="preserve">komplex, der </w:t>
      </w:r>
      <w:r w:rsidR="006D1FDB">
        <w:rPr>
          <w:rFonts w:ascii="Arial" w:hAnsi="Arial" w:cs="Arial"/>
          <w:sz w:val="24"/>
          <w:szCs w:val="24"/>
        </w:rPr>
        <w:t xml:space="preserve">sich </w:t>
      </w:r>
      <w:r w:rsidR="00A67E03">
        <w:rPr>
          <w:rFonts w:ascii="Arial" w:hAnsi="Arial" w:cs="Arial"/>
          <w:sz w:val="24"/>
          <w:szCs w:val="24"/>
        </w:rPr>
        <w:t>bei genauerer Betrachtung durchaus als Religionenkomplex, das heißt als Komplex von religiösen Ausprägungen und Gruppierungen erweist, die nur bedingt als aufeinander bezogen angesprochen werden können.</w:t>
      </w:r>
      <w:r w:rsidR="006D1FDB">
        <w:rPr>
          <w:rFonts w:ascii="Arial" w:hAnsi="Arial" w:cs="Arial"/>
          <w:sz w:val="24"/>
          <w:szCs w:val="24"/>
        </w:rPr>
        <w:t xml:space="preserve"> Heinrich von </w:t>
      </w:r>
      <w:proofErr w:type="spellStart"/>
      <w:r w:rsidR="006D1FDB">
        <w:rPr>
          <w:rFonts w:ascii="Arial" w:hAnsi="Arial" w:cs="Arial"/>
          <w:sz w:val="24"/>
          <w:szCs w:val="24"/>
        </w:rPr>
        <w:t>Sti</w:t>
      </w:r>
      <w:r w:rsidR="006D1FDB">
        <w:rPr>
          <w:rFonts w:ascii="Arial" w:hAnsi="Arial" w:cs="Arial"/>
          <w:sz w:val="24"/>
          <w:szCs w:val="24"/>
        </w:rPr>
        <w:t>e</w:t>
      </w:r>
      <w:r w:rsidR="006D1FDB">
        <w:rPr>
          <w:rFonts w:ascii="Arial" w:hAnsi="Arial" w:cs="Arial"/>
          <w:sz w:val="24"/>
          <w:szCs w:val="24"/>
        </w:rPr>
        <w:t>tencron</w:t>
      </w:r>
      <w:proofErr w:type="spellEnd"/>
      <w:r w:rsidR="006D1FDB">
        <w:rPr>
          <w:rFonts w:ascii="Arial" w:hAnsi="Arial" w:cs="Arial"/>
          <w:sz w:val="24"/>
          <w:szCs w:val="24"/>
        </w:rPr>
        <w:t xml:space="preserve"> </w:t>
      </w:r>
      <w:r w:rsidR="00F74689">
        <w:rPr>
          <w:rFonts w:ascii="Arial" w:hAnsi="Arial" w:cs="Arial"/>
          <w:sz w:val="24"/>
          <w:szCs w:val="24"/>
        </w:rPr>
        <w:t>versteht folglich unter der Bezeichnung „Hinduismus“  eine Gruppe von ve</w:t>
      </w:r>
      <w:r w:rsidR="00F74689">
        <w:rPr>
          <w:rFonts w:ascii="Arial" w:hAnsi="Arial" w:cs="Arial"/>
          <w:sz w:val="24"/>
          <w:szCs w:val="24"/>
        </w:rPr>
        <w:t>r</w:t>
      </w:r>
      <w:r w:rsidR="00F74689">
        <w:rPr>
          <w:rFonts w:ascii="Arial" w:hAnsi="Arial" w:cs="Arial"/>
          <w:sz w:val="24"/>
          <w:szCs w:val="24"/>
        </w:rPr>
        <w:t xml:space="preserve">wandten, aber voneinander verschiedenen Religionen und </w:t>
      </w:r>
      <w:r w:rsidR="006D1FDB">
        <w:rPr>
          <w:rFonts w:ascii="Arial" w:hAnsi="Arial" w:cs="Arial"/>
          <w:sz w:val="24"/>
          <w:szCs w:val="24"/>
        </w:rPr>
        <w:t xml:space="preserve">spricht </w:t>
      </w:r>
      <w:r w:rsidR="00F74689">
        <w:rPr>
          <w:rFonts w:ascii="Arial" w:hAnsi="Arial" w:cs="Arial"/>
          <w:sz w:val="24"/>
          <w:szCs w:val="24"/>
        </w:rPr>
        <w:t>daher</w:t>
      </w:r>
      <w:r w:rsidR="006D1FDB">
        <w:rPr>
          <w:rFonts w:ascii="Arial" w:hAnsi="Arial" w:cs="Arial"/>
          <w:sz w:val="24"/>
          <w:szCs w:val="24"/>
        </w:rPr>
        <w:t xml:space="preserve"> im Plural von Hindu-Religionen</w:t>
      </w:r>
      <w:r w:rsidR="006D1FDB">
        <w:rPr>
          <w:rStyle w:val="Funotenzeichen"/>
          <w:rFonts w:ascii="Arial" w:hAnsi="Arial" w:cs="Arial"/>
          <w:sz w:val="24"/>
          <w:szCs w:val="24"/>
        </w:rPr>
        <w:footnoteReference w:id="4"/>
      </w:r>
      <w:r w:rsidR="00F74689">
        <w:rPr>
          <w:rFonts w:ascii="Arial" w:hAnsi="Arial" w:cs="Arial"/>
          <w:sz w:val="24"/>
          <w:szCs w:val="24"/>
        </w:rPr>
        <w:t>.</w:t>
      </w:r>
      <w:r w:rsidR="006D1FDB" w:rsidRPr="006D1FDB">
        <w:rPr>
          <w:rFonts w:ascii="Arial" w:hAnsi="Arial" w:cs="Arial"/>
          <w:vanish/>
          <w:sz w:val="24"/>
          <w:szCs w:val="24"/>
        </w:rPr>
        <w:t xml:space="preserve">von </w:t>
      </w:r>
      <w:r w:rsidR="006D1FDB">
        <w:rPr>
          <w:rFonts w:ascii="Arial" w:hAnsi="Arial" w:cs="Arial"/>
          <w:vanish/>
          <w:sz w:val="24"/>
          <w:szCs w:val="24"/>
        </w:rPr>
        <w:t>indu-Religionen</w:t>
      </w:r>
      <w:r w:rsidR="006D1FDB" w:rsidRPr="006D1FDB">
        <w:rPr>
          <w:rFonts w:ascii="Arial" w:hAnsi="Arial" w:cs="Arial"/>
          <w:vanish/>
          <w:sz w:val="24"/>
          <w:szCs w:val="24"/>
        </w:rPr>
        <w:t>einrich vonStietechH</w:t>
      </w:r>
      <w:r w:rsidR="00A67E03" w:rsidRPr="006D1FDB">
        <w:rPr>
          <w:rFonts w:ascii="Arial" w:hAnsi="Arial" w:cs="Arial"/>
          <w:vanish/>
          <w:sz w:val="24"/>
          <w:szCs w:val="24"/>
        </w:rPr>
        <w:t xml:space="preserve"> </w:t>
      </w:r>
    </w:p>
    <w:p w:rsidR="00A67E03" w:rsidRDefault="00A67E03" w:rsidP="00A67E03">
      <w:pPr>
        <w:spacing w:after="0" w:line="360" w:lineRule="auto"/>
        <w:jc w:val="both"/>
        <w:rPr>
          <w:rFonts w:ascii="Arial" w:hAnsi="Arial" w:cs="Arial"/>
          <w:sz w:val="24"/>
          <w:szCs w:val="24"/>
        </w:rPr>
      </w:pPr>
      <w:r>
        <w:rPr>
          <w:rFonts w:ascii="Arial" w:hAnsi="Arial" w:cs="Arial"/>
          <w:sz w:val="24"/>
          <w:szCs w:val="24"/>
        </w:rPr>
        <w:t>Die Klärung der damit gegebenen Fragen zwingt uns</w:t>
      </w:r>
      <w:r w:rsidR="00F74689">
        <w:rPr>
          <w:rFonts w:ascii="Arial" w:hAnsi="Arial" w:cs="Arial"/>
          <w:sz w:val="24"/>
          <w:szCs w:val="24"/>
        </w:rPr>
        <w:t xml:space="preserve"> darüber hinaus</w:t>
      </w:r>
      <w:r>
        <w:rPr>
          <w:rFonts w:ascii="Arial" w:hAnsi="Arial" w:cs="Arial"/>
          <w:sz w:val="24"/>
          <w:szCs w:val="24"/>
        </w:rPr>
        <w:t>, auf verschi</w:t>
      </w:r>
      <w:r>
        <w:rPr>
          <w:rFonts w:ascii="Arial" w:hAnsi="Arial" w:cs="Arial"/>
          <w:sz w:val="24"/>
          <w:szCs w:val="24"/>
        </w:rPr>
        <w:t>e</w:t>
      </w:r>
      <w:r>
        <w:rPr>
          <w:rFonts w:ascii="Arial" w:hAnsi="Arial" w:cs="Arial"/>
          <w:sz w:val="24"/>
          <w:szCs w:val="24"/>
        </w:rPr>
        <w:t>dene Unterscheidungen zu achten. Dazu gehören vor allem folgende Fragen:</w:t>
      </w:r>
    </w:p>
    <w:p w:rsidR="00A67E03" w:rsidRDefault="00A67E03" w:rsidP="00A67E03">
      <w:pPr>
        <w:spacing w:after="0" w:line="360" w:lineRule="auto"/>
        <w:jc w:val="both"/>
        <w:rPr>
          <w:rFonts w:ascii="Arial" w:hAnsi="Arial" w:cs="Arial"/>
          <w:sz w:val="24"/>
          <w:szCs w:val="24"/>
        </w:rPr>
      </w:pPr>
      <w:r>
        <w:rPr>
          <w:rFonts w:ascii="Arial" w:hAnsi="Arial" w:cs="Arial"/>
          <w:sz w:val="24"/>
          <w:szCs w:val="24"/>
        </w:rPr>
        <w:t>●</w:t>
      </w:r>
      <w:r w:rsidR="00374CC1">
        <w:rPr>
          <w:rFonts w:ascii="Arial" w:hAnsi="Arial" w:cs="Arial"/>
          <w:sz w:val="24"/>
          <w:szCs w:val="24"/>
        </w:rPr>
        <w:t xml:space="preserve"> </w:t>
      </w:r>
      <w:r w:rsidRPr="00374CC1">
        <w:rPr>
          <w:rFonts w:ascii="Arial" w:hAnsi="Arial" w:cs="Arial"/>
          <w:i/>
          <w:sz w:val="24"/>
          <w:szCs w:val="24"/>
        </w:rPr>
        <w:t>Ideal und Wirklichkeit</w:t>
      </w:r>
      <w:r>
        <w:rPr>
          <w:rFonts w:ascii="Arial" w:hAnsi="Arial" w:cs="Arial"/>
          <w:sz w:val="24"/>
          <w:szCs w:val="24"/>
        </w:rPr>
        <w:t xml:space="preserve">: Von woher sind die Ideale der beiden </w:t>
      </w:r>
      <w:r w:rsidR="0000120A">
        <w:rPr>
          <w:rFonts w:ascii="Arial" w:hAnsi="Arial" w:cs="Arial"/>
          <w:sz w:val="24"/>
          <w:szCs w:val="24"/>
        </w:rPr>
        <w:t>Religion</w:t>
      </w:r>
      <w:r w:rsidR="00F74689">
        <w:rPr>
          <w:rFonts w:ascii="Arial" w:hAnsi="Arial" w:cs="Arial"/>
          <w:sz w:val="24"/>
          <w:szCs w:val="24"/>
        </w:rPr>
        <w:t>ssysteme</w:t>
      </w:r>
      <w:r w:rsidR="0000120A">
        <w:rPr>
          <w:rStyle w:val="Funotenzeichen"/>
          <w:rFonts w:ascii="Arial" w:hAnsi="Arial" w:cs="Arial"/>
          <w:sz w:val="24"/>
          <w:szCs w:val="24"/>
        </w:rPr>
        <w:footnoteReference w:id="5"/>
      </w:r>
      <w:r>
        <w:rPr>
          <w:rFonts w:ascii="Arial" w:hAnsi="Arial" w:cs="Arial"/>
          <w:sz w:val="24"/>
          <w:szCs w:val="24"/>
        </w:rPr>
        <w:t xml:space="preserve"> zu bestimmen? Beide </w:t>
      </w:r>
      <w:r w:rsidR="0000120A">
        <w:rPr>
          <w:rFonts w:ascii="Arial" w:hAnsi="Arial" w:cs="Arial"/>
          <w:sz w:val="24"/>
          <w:szCs w:val="24"/>
        </w:rPr>
        <w:t xml:space="preserve">haben ihre maßgeblichen Schriften, die einen Ansatzpunkt </w:t>
      </w:r>
      <w:r w:rsidR="00374CC1">
        <w:rPr>
          <w:rFonts w:ascii="Arial" w:hAnsi="Arial" w:cs="Arial"/>
          <w:sz w:val="24"/>
          <w:szCs w:val="24"/>
        </w:rPr>
        <w:t xml:space="preserve">für eine grundsätzliche Erörterung </w:t>
      </w:r>
      <w:r w:rsidR="0000120A">
        <w:rPr>
          <w:rFonts w:ascii="Arial" w:hAnsi="Arial" w:cs="Arial"/>
          <w:sz w:val="24"/>
          <w:szCs w:val="24"/>
        </w:rPr>
        <w:t>bilden.</w:t>
      </w:r>
    </w:p>
    <w:p w:rsidR="00374CC1" w:rsidRDefault="0000120A" w:rsidP="00A67E03">
      <w:pPr>
        <w:spacing w:after="0" w:line="360" w:lineRule="auto"/>
        <w:jc w:val="both"/>
        <w:rPr>
          <w:rFonts w:ascii="Arial" w:hAnsi="Arial" w:cs="Arial"/>
          <w:sz w:val="24"/>
          <w:szCs w:val="24"/>
        </w:rPr>
      </w:pPr>
      <w:r>
        <w:rPr>
          <w:rFonts w:ascii="Arial" w:hAnsi="Arial" w:cs="Arial"/>
          <w:sz w:val="24"/>
          <w:szCs w:val="24"/>
        </w:rPr>
        <w:t xml:space="preserve">● </w:t>
      </w:r>
      <w:r w:rsidR="00374CC1">
        <w:rPr>
          <w:rFonts w:ascii="Arial" w:hAnsi="Arial" w:cs="Arial"/>
          <w:i/>
          <w:sz w:val="24"/>
          <w:szCs w:val="24"/>
        </w:rPr>
        <w:t>Die Wirklich</w:t>
      </w:r>
      <w:r w:rsidR="00374CC1" w:rsidRPr="00374CC1">
        <w:rPr>
          <w:rFonts w:ascii="Arial" w:hAnsi="Arial" w:cs="Arial"/>
          <w:i/>
          <w:sz w:val="24"/>
          <w:szCs w:val="24"/>
        </w:rPr>
        <w:t>keit</w:t>
      </w:r>
      <w:r w:rsidR="00374CC1">
        <w:rPr>
          <w:rFonts w:ascii="Arial" w:hAnsi="Arial" w:cs="Arial"/>
          <w:sz w:val="24"/>
          <w:szCs w:val="24"/>
        </w:rPr>
        <w:t xml:space="preserve">: In der Betrachtung der Wirklichkeit sind eine geschichtliche Längsschnitts-  und eine aktuelle Querschnittbetrachtung zu unterscheiden. </w:t>
      </w:r>
      <w:r w:rsidR="00893A89">
        <w:rPr>
          <w:rFonts w:ascii="Arial" w:hAnsi="Arial" w:cs="Arial"/>
          <w:sz w:val="24"/>
          <w:szCs w:val="24"/>
        </w:rPr>
        <w:t>Die he</w:t>
      </w:r>
      <w:r w:rsidR="00893A89">
        <w:rPr>
          <w:rFonts w:ascii="Arial" w:hAnsi="Arial" w:cs="Arial"/>
          <w:sz w:val="24"/>
          <w:szCs w:val="24"/>
        </w:rPr>
        <w:t>u</w:t>
      </w:r>
      <w:r w:rsidR="00893A89">
        <w:rPr>
          <w:rFonts w:ascii="Arial" w:hAnsi="Arial" w:cs="Arial"/>
          <w:sz w:val="24"/>
          <w:szCs w:val="24"/>
        </w:rPr>
        <w:t>tige Beschäftigung mit der Gewaltfrage in den Religionen hat einen hohen Aktual</w:t>
      </w:r>
      <w:r w:rsidR="00893A89">
        <w:rPr>
          <w:rFonts w:ascii="Arial" w:hAnsi="Arial" w:cs="Arial"/>
          <w:sz w:val="24"/>
          <w:szCs w:val="24"/>
        </w:rPr>
        <w:t>i</w:t>
      </w:r>
      <w:r w:rsidR="00893A89">
        <w:rPr>
          <w:rFonts w:ascii="Arial" w:hAnsi="Arial" w:cs="Arial"/>
          <w:sz w:val="24"/>
          <w:szCs w:val="24"/>
        </w:rPr>
        <w:t>tätswert und kann nicht mit einer Betrachtung der Vergangenheitsgeschichte befri</w:t>
      </w:r>
      <w:r w:rsidR="00893A89">
        <w:rPr>
          <w:rFonts w:ascii="Arial" w:hAnsi="Arial" w:cs="Arial"/>
          <w:sz w:val="24"/>
          <w:szCs w:val="24"/>
        </w:rPr>
        <w:t>e</w:t>
      </w:r>
      <w:r w:rsidR="00893A89">
        <w:rPr>
          <w:rFonts w:ascii="Arial" w:hAnsi="Arial" w:cs="Arial"/>
          <w:sz w:val="24"/>
          <w:szCs w:val="24"/>
        </w:rPr>
        <w:t>digt werden.</w:t>
      </w:r>
    </w:p>
    <w:p w:rsidR="00A96119" w:rsidRDefault="00374CC1" w:rsidP="00893A8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 xml:space="preserve">Gesellschaftsanalysen: </w:t>
      </w:r>
      <w:r>
        <w:rPr>
          <w:rFonts w:ascii="Arial" w:hAnsi="Arial" w:cs="Arial"/>
          <w:sz w:val="24"/>
          <w:szCs w:val="24"/>
        </w:rPr>
        <w:t xml:space="preserve">Historische Zeitanalysen </w:t>
      </w:r>
      <w:r w:rsidR="00F74689">
        <w:rPr>
          <w:rFonts w:ascii="Arial" w:hAnsi="Arial" w:cs="Arial"/>
          <w:sz w:val="24"/>
          <w:szCs w:val="24"/>
        </w:rPr>
        <w:t xml:space="preserve">von Religionen </w:t>
      </w:r>
      <w:r>
        <w:rPr>
          <w:rFonts w:ascii="Arial" w:hAnsi="Arial" w:cs="Arial"/>
          <w:sz w:val="24"/>
          <w:szCs w:val="24"/>
        </w:rPr>
        <w:t xml:space="preserve">sind </w:t>
      </w:r>
      <w:r w:rsidR="00893A89">
        <w:rPr>
          <w:rFonts w:ascii="Arial" w:hAnsi="Arial" w:cs="Arial"/>
          <w:sz w:val="24"/>
          <w:szCs w:val="24"/>
        </w:rPr>
        <w:t>in der heut</w:t>
      </w:r>
      <w:r w:rsidR="00893A89">
        <w:rPr>
          <w:rFonts w:ascii="Arial" w:hAnsi="Arial" w:cs="Arial"/>
          <w:sz w:val="24"/>
          <w:szCs w:val="24"/>
        </w:rPr>
        <w:t>i</w:t>
      </w:r>
      <w:r w:rsidR="00893A89">
        <w:rPr>
          <w:rFonts w:ascii="Arial" w:hAnsi="Arial" w:cs="Arial"/>
          <w:sz w:val="24"/>
          <w:szCs w:val="24"/>
        </w:rPr>
        <w:t>gen pluralistischen Gesellschaft nicht mehr im Blick auf die Religionen allein, losg</w:t>
      </w:r>
      <w:r w:rsidR="00893A89">
        <w:rPr>
          <w:rFonts w:ascii="Arial" w:hAnsi="Arial" w:cs="Arial"/>
          <w:sz w:val="24"/>
          <w:szCs w:val="24"/>
        </w:rPr>
        <w:t>e</w:t>
      </w:r>
      <w:r w:rsidR="00893A89">
        <w:rPr>
          <w:rFonts w:ascii="Arial" w:hAnsi="Arial" w:cs="Arial"/>
          <w:sz w:val="24"/>
          <w:szCs w:val="24"/>
        </w:rPr>
        <w:t xml:space="preserve">löst von den geographischen, kulturellen und gesellschaftspolitischen </w:t>
      </w:r>
      <w:r w:rsidR="00F74689">
        <w:rPr>
          <w:rFonts w:ascii="Arial" w:hAnsi="Arial" w:cs="Arial"/>
          <w:sz w:val="24"/>
          <w:szCs w:val="24"/>
        </w:rPr>
        <w:t>Lebensweltb</w:t>
      </w:r>
      <w:r w:rsidR="00F74689">
        <w:rPr>
          <w:rFonts w:ascii="Arial" w:hAnsi="Arial" w:cs="Arial"/>
          <w:sz w:val="24"/>
          <w:szCs w:val="24"/>
        </w:rPr>
        <w:t>e</w:t>
      </w:r>
      <w:r w:rsidR="00F74689">
        <w:rPr>
          <w:rFonts w:ascii="Arial" w:hAnsi="Arial" w:cs="Arial"/>
          <w:sz w:val="24"/>
          <w:szCs w:val="24"/>
        </w:rPr>
        <w:t>dingungen</w:t>
      </w:r>
      <w:r w:rsidR="00893A89">
        <w:rPr>
          <w:rFonts w:ascii="Arial" w:hAnsi="Arial" w:cs="Arial"/>
          <w:sz w:val="24"/>
          <w:szCs w:val="24"/>
        </w:rPr>
        <w:t xml:space="preserve">, </w:t>
      </w:r>
      <w:r w:rsidR="00F74689">
        <w:rPr>
          <w:rFonts w:ascii="Arial" w:hAnsi="Arial" w:cs="Arial"/>
          <w:sz w:val="24"/>
          <w:szCs w:val="24"/>
        </w:rPr>
        <w:t>unter</w:t>
      </w:r>
      <w:r w:rsidR="00893A89">
        <w:rPr>
          <w:rFonts w:ascii="Arial" w:hAnsi="Arial" w:cs="Arial"/>
          <w:sz w:val="24"/>
          <w:szCs w:val="24"/>
        </w:rPr>
        <w:t xml:space="preserve"> denen sie sich verwirklichen, zu entfalten. Gerade die Frage nach Politik und Gewalt in den nicht-monotheistischen Religionen erfordert einen erweite</w:t>
      </w:r>
      <w:r w:rsidR="00893A89">
        <w:rPr>
          <w:rFonts w:ascii="Arial" w:hAnsi="Arial" w:cs="Arial"/>
          <w:sz w:val="24"/>
          <w:szCs w:val="24"/>
        </w:rPr>
        <w:t>r</w:t>
      </w:r>
      <w:r w:rsidR="00893A89">
        <w:rPr>
          <w:rFonts w:ascii="Arial" w:hAnsi="Arial" w:cs="Arial"/>
          <w:sz w:val="24"/>
          <w:szCs w:val="24"/>
        </w:rPr>
        <w:t>ten Blickwinkel, der den Fragekomplex weiter kompliziert. Denn er schließt die Fr</w:t>
      </w:r>
      <w:r w:rsidR="00893A89">
        <w:rPr>
          <w:rFonts w:ascii="Arial" w:hAnsi="Arial" w:cs="Arial"/>
          <w:sz w:val="24"/>
          <w:szCs w:val="24"/>
        </w:rPr>
        <w:t>a</w:t>
      </w:r>
      <w:r w:rsidR="00893A89">
        <w:rPr>
          <w:rFonts w:ascii="Arial" w:hAnsi="Arial" w:cs="Arial"/>
          <w:sz w:val="24"/>
          <w:szCs w:val="24"/>
        </w:rPr>
        <w:t>ge</w:t>
      </w:r>
      <w:r w:rsidR="00F74689">
        <w:rPr>
          <w:rFonts w:ascii="Arial" w:hAnsi="Arial" w:cs="Arial"/>
          <w:sz w:val="24"/>
          <w:szCs w:val="24"/>
        </w:rPr>
        <w:t>n</w:t>
      </w:r>
      <w:r w:rsidR="00893A89">
        <w:rPr>
          <w:rFonts w:ascii="Arial" w:hAnsi="Arial" w:cs="Arial"/>
          <w:sz w:val="24"/>
          <w:szCs w:val="24"/>
        </w:rPr>
        <w:t xml:space="preserve"> ein, was (a) unter „Poli</w:t>
      </w:r>
      <w:r w:rsidR="001F00D2">
        <w:rPr>
          <w:rFonts w:ascii="Arial" w:hAnsi="Arial" w:cs="Arial"/>
          <w:sz w:val="24"/>
          <w:szCs w:val="24"/>
        </w:rPr>
        <w:t xml:space="preserve">tik“ und (b) </w:t>
      </w:r>
      <w:r w:rsidR="00893A89">
        <w:rPr>
          <w:rFonts w:ascii="Arial" w:hAnsi="Arial" w:cs="Arial"/>
          <w:sz w:val="24"/>
          <w:szCs w:val="24"/>
        </w:rPr>
        <w:t>unter „Gewalt“ zu verstanden wird</w:t>
      </w:r>
      <w:r w:rsidR="002966FE">
        <w:rPr>
          <w:rFonts w:ascii="Arial" w:hAnsi="Arial" w:cs="Arial"/>
          <w:sz w:val="24"/>
          <w:szCs w:val="24"/>
        </w:rPr>
        <w:t>; sprechen wir</w:t>
      </w:r>
      <w:r w:rsidR="00893A89">
        <w:rPr>
          <w:rFonts w:ascii="Arial" w:hAnsi="Arial" w:cs="Arial"/>
          <w:sz w:val="24"/>
          <w:szCs w:val="24"/>
        </w:rPr>
        <w:t xml:space="preserve"> </w:t>
      </w:r>
      <w:r w:rsidR="002966FE">
        <w:rPr>
          <w:rFonts w:ascii="Arial" w:hAnsi="Arial" w:cs="Arial"/>
          <w:sz w:val="24"/>
          <w:szCs w:val="24"/>
        </w:rPr>
        <w:t>von „Gewalt“, ist auf jeden Fall zu unterscheiden zwischen physischer und geist</w:t>
      </w:r>
      <w:r w:rsidR="002966FE">
        <w:rPr>
          <w:rFonts w:ascii="Arial" w:hAnsi="Arial" w:cs="Arial"/>
          <w:sz w:val="24"/>
          <w:szCs w:val="24"/>
        </w:rPr>
        <w:t>i</w:t>
      </w:r>
      <w:r w:rsidR="002966FE">
        <w:rPr>
          <w:rFonts w:ascii="Arial" w:hAnsi="Arial" w:cs="Arial"/>
          <w:sz w:val="24"/>
          <w:szCs w:val="24"/>
        </w:rPr>
        <w:t>ger Gewalt.</w:t>
      </w:r>
    </w:p>
    <w:p w:rsidR="002966FE" w:rsidRDefault="002966FE" w:rsidP="00893A89">
      <w:pPr>
        <w:spacing w:after="0" w:line="360" w:lineRule="auto"/>
        <w:jc w:val="both"/>
        <w:rPr>
          <w:rFonts w:ascii="Arial" w:hAnsi="Arial" w:cs="Arial"/>
          <w:sz w:val="24"/>
          <w:szCs w:val="24"/>
        </w:rPr>
      </w:pPr>
      <w:r>
        <w:rPr>
          <w:rFonts w:ascii="Arial" w:hAnsi="Arial" w:cs="Arial"/>
          <w:sz w:val="24"/>
          <w:szCs w:val="24"/>
        </w:rPr>
        <w:t>Sinnvollerweise beginnen wir mit einigen aktuellen Beobachtungen, die uns dann erlauben, nach den grundsätzlichen Optionen in den beiden ausgewählten Religion</w:t>
      </w:r>
      <w:r>
        <w:rPr>
          <w:rFonts w:ascii="Arial" w:hAnsi="Arial" w:cs="Arial"/>
          <w:sz w:val="24"/>
          <w:szCs w:val="24"/>
        </w:rPr>
        <w:t>s</w:t>
      </w:r>
      <w:r>
        <w:rPr>
          <w:rFonts w:ascii="Arial" w:hAnsi="Arial" w:cs="Arial"/>
          <w:sz w:val="24"/>
          <w:szCs w:val="24"/>
        </w:rPr>
        <w:t xml:space="preserve">richtungen zu fragen. </w:t>
      </w:r>
      <w:r w:rsidR="001F00D2">
        <w:rPr>
          <w:rFonts w:ascii="Arial" w:hAnsi="Arial" w:cs="Arial"/>
          <w:sz w:val="24"/>
          <w:szCs w:val="24"/>
        </w:rPr>
        <w:t>Es zeigt sich dann, wie sehr Religionen immer mit einer b</w:t>
      </w:r>
      <w:r w:rsidR="001F00D2">
        <w:rPr>
          <w:rFonts w:ascii="Arial" w:hAnsi="Arial" w:cs="Arial"/>
          <w:sz w:val="24"/>
          <w:szCs w:val="24"/>
        </w:rPr>
        <w:t>e</w:t>
      </w:r>
      <w:r w:rsidR="001F00D2">
        <w:rPr>
          <w:rFonts w:ascii="Arial" w:hAnsi="Arial" w:cs="Arial"/>
          <w:sz w:val="24"/>
          <w:szCs w:val="24"/>
        </w:rPr>
        <w:t xml:space="preserve">stimmten Umwelt verbunden </w:t>
      </w:r>
      <w:proofErr w:type="spellStart"/>
      <w:r w:rsidR="001F00D2">
        <w:rPr>
          <w:rFonts w:ascii="Arial" w:hAnsi="Arial" w:cs="Arial"/>
          <w:sz w:val="24"/>
          <w:szCs w:val="24"/>
        </w:rPr>
        <w:t>bzw</w:t>
      </w:r>
      <w:proofErr w:type="spellEnd"/>
      <w:r w:rsidR="001F00D2">
        <w:rPr>
          <w:rFonts w:ascii="Arial" w:hAnsi="Arial" w:cs="Arial"/>
          <w:sz w:val="24"/>
          <w:szCs w:val="24"/>
        </w:rPr>
        <w:t xml:space="preserve">, in sie verflochten </w:t>
      </w:r>
      <w:proofErr w:type="gramStart"/>
      <w:r w:rsidR="001F00D2">
        <w:rPr>
          <w:rFonts w:ascii="Arial" w:hAnsi="Arial" w:cs="Arial"/>
          <w:sz w:val="24"/>
          <w:szCs w:val="24"/>
        </w:rPr>
        <w:t>ist</w:t>
      </w:r>
      <w:proofErr w:type="gramEnd"/>
      <w:r w:rsidR="001F00D2">
        <w:rPr>
          <w:rFonts w:ascii="Arial" w:hAnsi="Arial" w:cs="Arial"/>
          <w:sz w:val="24"/>
          <w:szCs w:val="24"/>
        </w:rPr>
        <w:t xml:space="preserve">. </w:t>
      </w:r>
    </w:p>
    <w:p w:rsidR="00A44133" w:rsidRDefault="00A44133" w:rsidP="00893A89">
      <w:pPr>
        <w:spacing w:after="0" w:line="360" w:lineRule="auto"/>
        <w:jc w:val="both"/>
        <w:rPr>
          <w:rFonts w:ascii="Arial" w:hAnsi="Arial" w:cs="Arial"/>
          <w:sz w:val="24"/>
          <w:szCs w:val="24"/>
        </w:rPr>
      </w:pPr>
    </w:p>
    <w:p w:rsidR="002966FE" w:rsidRDefault="002966FE" w:rsidP="00893A89">
      <w:pPr>
        <w:spacing w:after="0" w:line="360" w:lineRule="auto"/>
        <w:jc w:val="both"/>
        <w:rPr>
          <w:rFonts w:ascii="Arial" w:hAnsi="Arial" w:cs="Arial"/>
          <w:sz w:val="24"/>
          <w:szCs w:val="24"/>
        </w:rPr>
      </w:pPr>
      <w:r>
        <w:rPr>
          <w:rFonts w:ascii="Arial" w:hAnsi="Arial" w:cs="Arial"/>
          <w:b/>
          <w:i/>
          <w:sz w:val="24"/>
          <w:szCs w:val="24"/>
        </w:rPr>
        <w:lastRenderedPageBreak/>
        <w:t>Aktuelle Ereignisse</w:t>
      </w:r>
    </w:p>
    <w:p w:rsidR="002966FE" w:rsidRDefault="00994F72" w:rsidP="00893A89">
      <w:pPr>
        <w:spacing w:after="0" w:line="360" w:lineRule="auto"/>
        <w:jc w:val="both"/>
        <w:rPr>
          <w:rFonts w:ascii="Arial" w:hAnsi="Arial" w:cs="Arial"/>
          <w:sz w:val="24"/>
          <w:szCs w:val="24"/>
        </w:rPr>
      </w:pPr>
      <w:r>
        <w:rPr>
          <w:rFonts w:ascii="Arial" w:hAnsi="Arial" w:cs="Arial"/>
          <w:sz w:val="24"/>
          <w:szCs w:val="24"/>
        </w:rPr>
        <w:t xml:space="preserve">An einige </w:t>
      </w:r>
      <w:r w:rsidR="002966FE">
        <w:rPr>
          <w:rFonts w:ascii="Arial" w:hAnsi="Arial" w:cs="Arial"/>
          <w:sz w:val="24"/>
          <w:szCs w:val="24"/>
        </w:rPr>
        <w:t>Ereignisse im asiatischen Umfeld sei</w:t>
      </w:r>
      <w:r>
        <w:rPr>
          <w:rFonts w:ascii="Arial" w:hAnsi="Arial" w:cs="Arial"/>
          <w:sz w:val="24"/>
          <w:szCs w:val="24"/>
        </w:rPr>
        <w:t xml:space="preserve"> erinnert</w:t>
      </w:r>
      <w:r w:rsidR="002966FE">
        <w:rPr>
          <w:rFonts w:ascii="Arial" w:hAnsi="Arial" w:cs="Arial"/>
          <w:sz w:val="24"/>
          <w:szCs w:val="24"/>
        </w:rPr>
        <w:t>:</w:t>
      </w:r>
    </w:p>
    <w:p w:rsidR="00994F72" w:rsidRDefault="00994F72" w:rsidP="00893A89">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 xml:space="preserve">Sri Lanka nach der Unabhängigkeit: </w:t>
      </w:r>
      <w:r>
        <w:rPr>
          <w:rFonts w:ascii="Arial" w:hAnsi="Arial" w:cs="Arial"/>
          <w:sz w:val="24"/>
          <w:szCs w:val="24"/>
        </w:rPr>
        <w:t>Seit 1972 ist das frühere Ceylon eine una</w:t>
      </w:r>
      <w:r>
        <w:rPr>
          <w:rFonts w:ascii="Arial" w:hAnsi="Arial" w:cs="Arial"/>
          <w:sz w:val="24"/>
          <w:szCs w:val="24"/>
        </w:rPr>
        <w:t>b</w:t>
      </w:r>
      <w:r>
        <w:rPr>
          <w:rFonts w:ascii="Arial" w:hAnsi="Arial" w:cs="Arial"/>
          <w:sz w:val="24"/>
          <w:szCs w:val="24"/>
        </w:rPr>
        <w:t>hängige Republik mit dem Namen Sri Lanka. Ethnisch bl</w:t>
      </w:r>
      <w:r w:rsidR="001F00D2">
        <w:rPr>
          <w:rFonts w:ascii="Arial" w:hAnsi="Arial" w:cs="Arial"/>
          <w:sz w:val="24"/>
          <w:szCs w:val="24"/>
        </w:rPr>
        <w:t>eibt die Insel</w:t>
      </w:r>
      <w:r>
        <w:rPr>
          <w:rFonts w:ascii="Arial" w:hAnsi="Arial" w:cs="Arial"/>
          <w:sz w:val="24"/>
          <w:szCs w:val="24"/>
        </w:rPr>
        <w:t xml:space="preserve"> bestimmt von den überwiegend </w:t>
      </w:r>
      <w:r w:rsidR="004859E5">
        <w:rPr>
          <w:rFonts w:ascii="Arial" w:hAnsi="Arial" w:cs="Arial"/>
          <w:sz w:val="24"/>
          <w:szCs w:val="24"/>
        </w:rPr>
        <w:t xml:space="preserve"> </w:t>
      </w:r>
      <w:proofErr w:type="spellStart"/>
      <w:r>
        <w:rPr>
          <w:rFonts w:ascii="Arial" w:hAnsi="Arial" w:cs="Arial"/>
          <w:sz w:val="24"/>
          <w:szCs w:val="24"/>
        </w:rPr>
        <w:t>theravada</w:t>
      </w:r>
      <w:proofErr w:type="spellEnd"/>
      <w:r>
        <w:rPr>
          <w:rFonts w:ascii="Arial" w:hAnsi="Arial" w:cs="Arial"/>
          <w:sz w:val="24"/>
          <w:szCs w:val="24"/>
        </w:rPr>
        <w:t>-buddhistischen Singhalesen (</w:t>
      </w:r>
      <w:r w:rsidR="001F00D2">
        <w:rPr>
          <w:rFonts w:ascii="Arial" w:hAnsi="Arial" w:cs="Arial"/>
          <w:sz w:val="24"/>
          <w:szCs w:val="24"/>
        </w:rPr>
        <w:t xml:space="preserve">2001 </w:t>
      </w:r>
      <w:r w:rsidR="004859E5">
        <w:rPr>
          <w:rFonts w:ascii="Arial" w:hAnsi="Arial" w:cs="Arial"/>
          <w:sz w:val="24"/>
          <w:szCs w:val="24"/>
        </w:rPr>
        <w:t>7</w:t>
      </w:r>
      <w:r w:rsidR="001F00D2">
        <w:rPr>
          <w:rFonts w:ascii="Arial" w:hAnsi="Arial" w:cs="Arial"/>
          <w:sz w:val="24"/>
          <w:szCs w:val="24"/>
        </w:rPr>
        <w:t>6,7</w:t>
      </w:r>
      <w:r w:rsidR="004859E5">
        <w:rPr>
          <w:rFonts w:ascii="Arial" w:hAnsi="Arial" w:cs="Arial"/>
          <w:sz w:val="24"/>
          <w:szCs w:val="24"/>
        </w:rPr>
        <w:t xml:space="preserve">%) und den mehrheitlich </w:t>
      </w:r>
      <w:r>
        <w:rPr>
          <w:rFonts w:ascii="Arial" w:hAnsi="Arial" w:cs="Arial"/>
          <w:sz w:val="24"/>
          <w:szCs w:val="24"/>
        </w:rPr>
        <w:t xml:space="preserve">hinduistischen Tamilen </w:t>
      </w:r>
      <w:r w:rsidR="004859E5">
        <w:rPr>
          <w:rFonts w:ascii="Arial" w:hAnsi="Arial" w:cs="Arial"/>
          <w:sz w:val="24"/>
          <w:szCs w:val="24"/>
        </w:rPr>
        <w:t>(</w:t>
      </w:r>
      <w:r w:rsidR="001F00D2">
        <w:rPr>
          <w:rFonts w:ascii="Arial" w:hAnsi="Arial" w:cs="Arial"/>
          <w:sz w:val="24"/>
          <w:szCs w:val="24"/>
        </w:rPr>
        <w:t>7,9</w:t>
      </w:r>
      <w:r w:rsidR="004859E5">
        <w:rPr>
          <w:rFonts w:ascii="Arial" w:hAnsi="Arial" w:cs="Arial"/>
          <w:sz w:val="24"/>
          <w:szCs w:val="24"/>
        </w:rPr>
        <w:t xml:space="preserve">%), </w:t>
      </w:r>
      <w:r>
        <w:rPr>
          <w:rFonts w:ascii="Arial" w:hAnsi="Arial" w:cs="Arial"/>
          <w:sz w:val="24"/>
          <w:szCs w:val="24"/>
        </w:rPr>
        <w:t>zwischen denen es nach der Unabhä</w:t>
      </w:r>
      <w:r>
        <w:rPr>
          <w:rFonts w:ascii="Arial" w:hAnsi="Arial" w:cs="Arial"/>
          <w:sz w:val="24"/>
          <w:szCs w:val="24"/>
        </w:rPr>
        <w:t>n</w:t>
      </w:r>
      <w:r>
        <w:rPr>
          <w:rFonts w:ascii="Arial" w:hAnsi="Arial" w:cs="Arial"/>
          <w:sz w:val="24"/>
          <w:szCs w:val="24"/>
        </w:rPr>
        <w:t xml:space="preserve">gigkeit zu erbitterten Kämpfen kam. </w:t>
      </w:r>
      <w:r w:rsidR="004859E5">
        <w:rPr>
          <w:rFonts w:ascii="Arial" w:hAnsi="Arial" w:cs="Arial"/>
          <w:sz w:val="24"/>
          <w:szCs w:val="24"/>
        </w:rPr>
        <w:t xml:space="preserve">Der Gatte der langjährigen Ministerpräsidentin </w:t>
      </w:r>
      <w:proofErr w:type="spellStart"/>
      <w:r w:rsidR="004859E5">
        <w:rPr>
          <w:rFonts w:ascii="Arial" w:hAnsi="Arial" w:cs="Arial"/>
          <w:sz w:val="24"/>
          <w:szCs w:val="24"/>
        </w:rPr>
        <w:t>Sirimayo</w:t>
      </w:r>
      <w:proofErr w:type="spellEnd"/>
      <w:r w:rsidR="004859E5">
        <w:rPr>
          <w:rFonts w:ascii="Arial" w:hAnsi="Arial" w:cs="Arial"/>
          <w:sz w:val="24"/>
          <w:szCs w:val="24"/>
        </w:rPr>
        <w:t xml:space="preserve"> </w:t>
      </w:r>
      <w:proofErr w:type="spellStart"/>
      <w:r w:rsidR="004859E5">
        <w:rPr>
          <w:rFonts w:ascii="Arial" w:hAnsi="Arial" w:cs="Arial"/>
          <w:sz w:val="24"/>
          <w:szCs w:val="24"/>
        </w:rPr>
        <w:t>Bandaranaike</w:t>
      </w:r>
      <w:proofErr w:type="spellEnd"/>
      <w:r w:rsidR="004859E5">
        <w:rPr>
          <w:rFonts w:ascii="Arial" w:hAnsi="Arial" w:cs="Arial"/>
          <w:sz w:val="24"/>
          <w:szCs w:val="24"/>
        </w:rPr>
        <w:t xml:space="preserve"> (1916-2000), S</w:t>
      </w:r>
      <w:r w:rsidR="001F00D2">
        <w:rPr>
          <w:rFonts w:ascii="Arial" w:hAnsi="Arial" w:cs="Arial"/>
          <w:sz w:val="24"/>
          <w:szCs w:val="24"/>
        </w:rPr>
        <w:t xml:space="preserve">olomon </w:t>
      </w:r>
      <w:r w:rsidR="004859E5">
        <w:rPr>
          <w:rFonts w:ascii="Arial" w:hAnsi="Arial" w:cs="Arial"/>
          <w:sz w:val="24"/>
          <w:szCs w:val="24"/>
        </w:rPr>
        <w:t xml:space="preserve">W.R.D. </w:t>
      </w:r>
      <w:proofErr w:type="spellStart"/>
      <w:r w:rsidR="004859E5">
        <w:rPr>
          <w:rFonts w:ascii="Arial" w:hAnsi="Arial" w:cs="Arial"/>
          <w:sz w:val="24"/>
          <w:szCs w:val="24"/>
        </w:rPr>
        <w:t>Bandaranaike</w:t>
      </w:r>
      <w:proofErr w:type="spellEnd"/>
      <w:r w:rsidR="004859E5">
        <w:rPr>
          <w:rFonts w:ascii="Arial" w:hAnsi="Arial" w:cs="Arial"/>
          <w:sz w:val="24"/>
          <w:szCs w:val="24"/>
        </w:rPr>
        <w:t xml:space="preserve"> (1899-1959), wurde 1959 von einem buddhistischen Mönch erschossen. Immer wieder kam es zu blutigen Auseinandersetzungen, die gewiss in starkem Maße ethnisch bedingt waren</w:t>
      </w:r>
      <w:r w:rsidR="0036610E">
        <w:rPr>
          <w:rFonts w:ascii="Arial" w:hAnsi="Arial" w:cs="Arial"/>
          <w:sz w:val="24"/>
          <w:szCs w:val="24"/>
        </w:rPr>
        <w:t>, doch lässt sich die religiöse Zugehörigkeit der Kämpfenden nicht einfachhin ignori</w:t>
      </w:r>
      <w:r w:rsidR="0036610E">
        <w:rPr>
          <w:rFonts w:ascii="Arial" w:hAnsi="Arial" w:cs="Arial"/>
          <w:sz w:val="24"/>
          <w:szCs w:val="24"/>
        </w:rPr>
        <w:t>e</w:t>
      </w:r>
      <w:r w:rsidR="0036610E">
        <w:rPr>
          <w:rFonts w:ascii="Arial" w:hAnsi="Arial" w:cs="Arial"/>
          <w:sz w:val="24"/>
          <w:szCs w:val="24"/>
        </w:rPr>
        <w:t>ren.</w:t>
      </w:r>
    </w:p>
    <w:p w:rsidR="00BC44DF" w:rsidRDefault="0036610E" w:rsidP="00893A89">
      <w:pPr>
        <w:spacing w:after="0" w:line="360" w:lineRule="auto"/>
        <w:jc w:val="both"/>
        <w:rPr>
          <w:rFonts w:ascii="Arial" w:hAnsi="Arial" w:cs="Arial"/>
          <w:sz w:val="24"/>
          <w:szCs w:val="24"/>
        </w:rPr>
      </w:pPr>
      <w:r>
        <w:rPr>
          <w:rFonts w:ascii="Arial" w:hAnsi="Arial" w:cs="Arial"/>
          <w:sz w:val="24"/>
          <w:szCs w:val="24"/>
        </w:rPr>
        <w:t>Die Beteiligung</w:t>
      </w:r>
      <w:r w:rsidR="00BC44DF">
        <w:rPr>
          <w:rFonts w:ascii="Arial" w:hAnsi="Arial" w:cs="Arial"/>
          <w:sz w:val="24"/>
          <w:szCs w:val="24"/>
        </w:rPr>
        <w:t xml:space="preserve"> buddhistischer Mönche a</w:t>
      </w:r>
      <w:r>
        <w:rPr>
          <w:rFonts w:ascii="Arial" w:hAnsi="Arial" w:cs="Arial"/>
          <w:sz w:val="24"/>
          <w:szCs w:val="24"/>
        </w:rPr>
        <w:t xml:space="preserve">n den </w:t>
      </w:r>
      <w:r w:rsidR="00BC44DF">
        <w:rPr>
          <w:rFonts w:ascii="Arial" w:hAnsi="Arial" w:cs="Arial"/>
          <w:sz w:val="24"/>
          <w:szCs w:val="24"/>
        </w:rPr>
        <w:t xml:space="preserve">politischen Auseinandersetzungen, die nach Einführung der Unabhängigkeit von den Kolonialherrschaften  </w:t>
      </w:r>
      <w:r w:rsidR="00500BF1">
        <w:rPr>
          <w:rFonts w:ascii="Arial" w:hAnsi="Arial" w:cs="Arial"/>
          <w:sz w:val="24"/>
          <w:szCs w:val="24"/>
        </w:rPr>
        <w:t xml:space="preserve">in </w:t>
      </w:r>
      <w:r w:rsidR="00BC44DF">
        <w:rPr>
          <w:rFonts w:ascii="Arial" w:hAnsi="Arial" w:cs="Arial"/>
          <w:sz w:val="24"/>
          <w:szCs w:val="24"/>
        </w:rPr>
        <w:t>der 2. Häl</w:t>
      </w:r>
      <w:r w:rsidR="00BC44DF">
        <w:rPr>
          <w:rFonts w:ascii="Arial" w:hAnsi="Arial" w:cs="Arial"/>
          <w:sz w:val="24"/>
          <w:szCs w:val="24"/>
        </w:rPr>
        <w:t>f</w:t>
      </w:r>
      <w:r w:rsidR="00BC44DF">
        <w:rPr>
          <w:rFonts w:ascii="Arial" w:hAnsi="Arial" w:cs="Arial"/>
          <w:sz w:val="24"/>
          <w:szCs w:val="24"/>
        </w:rPr>
        <w:t>te des 20 Jahrhunderts in Birma, dem heutigen Myanmar, Vietnam und Thailand ei</w:t>
      </w:r>
      <w:r w:rsidR="00BC44DF">
        <w:rPr>
          <w:rFonts w:ascii="Arial" w:hAnsi="Arial" w:cs="Arial"/>
          <w:sz w:val="24"/>
          <w:szCs w:val="24"/>
        </w:rPr>
        <w:t>n</w:t>
      </w:r>
      <w:r w:rsidR="00BC44DF">
        <w:rPr>
          <w:rFonts w:ascii="Arial" w:hAnsi="Arial" w:cs="Arial"/>
          <w:sz w:val="24"/>
          <w:szCs w:val="24"/>
        </w:rPr>
        <w:t>setzten, wären genauer zu bedenken. 2008 wurde de</w:t>
      </w:r>
      <w:r w:rsidR="00500BF1">
        <w:rPr>
          <w:rFonts w:ascii="Arial" w:hAnsi="Arial" w:cs="Arial"/>
          <w:sz w:val="24"/>
          <w:szCs w:val="24"/>
        </w:rPr>
        <w:t>r Führer der All Burma Monks, U</w:t>
      </w:r>
      <w:r w:rsidR="00BC44DF">
        <w:rPr>
          <w:rFonts w:ascii="Arial" w:hAnsi="Arial" w:cs="Arial"/>
          <w:sz w:val="24"/>
          <w:szCs w:val="24"/>
        </w:rPr>
        <w:t xml:space="preserve"> </w:t>
      </w:r>
      <w:proofErr w:type="spellStart"/>
      <w:r w:rsidR="00BC44DF">
        <w:rPr>
          <w:rFonts w:ascii="Arial" w:hAnsi="Arial" w:cs="Arial"/>
          <w:sz w:val="24"/>
          <w:szCs w:val="24"/>
        </w:rPr>
        <w:t>Gambira</w:t>
      </w:r>
      <w:proofErr w:type="spellEnd"/>
      <w:r w:rsidR="00BC44DF">
        <w:rPr>
          <w:rFonts w:ascii="Arial" w:hAnsi="Arial" w:cs="Arial"/>
          <w:sz w:val="24"/>
          <w:szCs w:val="24"/>
        </w:rPr>
        <w:t>, zu 68 Jahren Haft verurteilt, die 2009 auf 63 Jahre verkürzt wurden</w:t>
      </w:r>
      <w:r w:rsidR="00500BF1">
        <w:rPr>
          <w:rFonts w:ascii="Arial" w:hAnsi="Arial" w:cs="Arial"/>
          <w:sz w:val="24"/>
          <w:szCs w:val="24"/>
        </w:rPr>
        <w:t xml:space="preserve">; 2012 wurde er für kurze Zeit freigelassen, aber dann wiederholt festgenommen, so dass er schließlich das Mönchsein aufgab. </w:t>
      </w:r>
      <w:r w:rsidR="00BC44DF">
        <w:rPr>
          <w:rFonts w:ascii="Arial" w:hAnsi="Arial" w:cs="Arial"/>
          <w:sz w:val="24"/>
          <w:szCs w:val="24"/>
        </w:rPr>
        <w:t>.</w:t>
      </w:r>
    </w:p>
    <w:p w:rsidR="00216EAF" w:rsidRPr="00216EAF" w:rsidRDefault="00216EAF" w:rsidP="00500BF1">
      <w:pPr>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 xml:space="preserve">Selbstverbrennungen: </w:t>
      </w:r>
      <w:r>
        <w:rPr>
          <w:rFonts w:ascii="Arial" w:hAnsi="Arial" w:cs="Arial"/>
          <w:sz w:val="24"/>
          <w:szCs w:val="24"/>
        </w:rPr>
        <w:t>Weltweit bekannt geworden sind die wiederholten Protesta</w:t>
      </w:r>
      <w:r>
        <w:rPr>
          <w:rFonts w:ascii="Arial" w:hAnsi="Arial" w:cs="Arial"/>
          <w:sz w:val="24"/>
          <w:szCs w:val="24"/>
        </w:rPr>
        <w:t>k</w:t>
      </w:r>
      <w:r>
        <w:rPr>
          <w:rFonts w:ascii="Arial" w:hAnsi="Arial" w:cs="Arial"/>
          <w:sz w:val="24"/>
          <w:szCs w:val="24"/>
        </w:rPr>
        <w:t>tionen buddhistischer Mönche und Nonnen, die sich vor allem in Tibet aus Protest gegen die Unterdrückung Tibets durch die chinesische Volksrepublik öffentlich ang</w:t>
      </w:r>
      <w:r>
        <w:rPr>
          <w:rFonts w:ascii="Arial" w:hAnsi="Arial" w:cs="Arial"/>
          <w:sz w:val="24"/>
          <w:szCs w:val="24"/>
        </w:rPr>
        <w:t>e</w:t>
      </w:r>
      <w:r>
        <w:rPr>
          <w:rFonts w:ascii="Arial" w:hAnsi="Arial" w:cs="Arial"/>
          <w:sz w:val="24"/>
          <w:szCs w:val="24"/>
        </w:rPr>
        <w:t>zündet und verbrannt haben. Auch wenn es sich bei solchen Aktionen nicht um G</w:t>
      </w:r>
      <w:r>
        <w:rPr>
          <w:rFonts w:ascii="Arial" w:hAnsi="Arial" w:cs="Arial"/>
          <w:sz w:val="24"/>
          <w:szCs w:val="24"/>
        </w:rPr>
        <w:t>e</w:t>
      </w:r>
      <w:r>
        <w:rPr>
          <w:rFonts w:ascii="Arial" w:hAnsi="Arial" w:cs="Arial"/>
          <w:sz w:val="24"/>
          <w:szCs w:val="24"/>
        </w:rPr>
        <w:t>walt gegen andere handelt, sind auch sie als Gewalttätigkeiten anzusehen.</w:t>
      </w:r>
      <w:r w:rsidR="00500BF1">
        <w:rPr>
          <w:rFonts w:ascii="Arial" w:hAnsi="Arial" w:cs="Arial"/>
          <w:sz w:val="24"/>
          <w:szCs w:val="24"/>
        </w:rPr>
        <w:t xml:space="preserve"> Bis in die jüngste Zeit haben sich </w:t>
      </w:r>
      <w:r w:rsidR="00F55A21">
        <w:rPr>
          <w:rFonts w:ascii="Arial" w:hAnsi="Arial" w:cs="Arial"/>
          <w:sz w:val="24"/>
          <w:szCs w:val="24"/>
        </w:rPr>
        <w:t xml:space="preserve">allein in Tibet um die 100 </w:t>
      </w:r>
      <w:r w:rsidR="00500BF1">
        <w:rPr>
          <w:rFonts w:ascii="Arial" w:hAnsi="Arial" w:cs="Arial"/>
          <w:sz w:val="24"/>
          <w:szCs w:val="24"/>
        </w:rPr>
        <w:t xml:space="preserve">Mönche und Nonnen </w:t>
      </w:r>
      <w:r w:rsidR="00F55A21">
        <w:rPr>
          <w:rFonts w:ascii="Arial" w:hAnsi="Arial" w:cs="Arial"/>
          <w:sz w:val="24"/>
          <w:szCs w:val="24"/>
        </w:rPr>
        <w:t>aus Protest gegen die Unterdrückung ihrer Heimat angezündet und verbrannt.</w:t>
      </w:r>
    </w:p>
    <w:p w:rsidR="00D436A0" w:rsidRDefault="00216EAF" w:rsidP="00893A89">
      <w:pPr>
        <w:spacing w:after="0" w:line="360" w:lineRule="auto"/>
        <w:jc w:val="both"/>
        <w:rPr>
          <w:rFonts w:ascii="Arial" w:hAnsi="Arial" w:cs="Arial"/>
          <w:sz w:val="24"/>
          <w:szCs w:val="24"/>
        </w:rPr>
      </w:pPr>
      <w:r>
        <w:rPr>
          <w:rFonts w:ascii="Arial" w:hAnsi="Arial" w:cs="Arial"/>
          <w:sz w:val="24"/>
          <w:szCs w:val="24"/>
        </w:rPr>
        <w:t xml:space="preserve">● </w:t>
      </w:r>
      <w:r w:rsidR="00EC586C">
        <w:rPr>
          <w:rFonts w:ascii="Arial" w:hAnsi="Arial" w:cs="Arial"/>
          <w:i/>
          <w:sz w:val="24"/>
          <w:szCs w:val="24"/>
        </w:rPr>
        <w:t xml:space="preserve">Zen und Krieg: </w:t>
      </w:r>
      <w:r w:rsidR="00EC586C">
        <w:rPr>
          <w:rFonts w:ascii="Arial" w:hAnsi="Arial" w:cs="Arial"/>
          <w:sz w:val="24"/>
          <w:szCs w:val="24"/>
        </w:rPr>
        <w:t xml:space="preserve">Der zum Priester des japanischen </w:t>
      </w:r>
      <w:proofErr w:type="spellStart"/>
      <w:r w:rsidR="00F55A21">
        <w:rPr>
          <w:rFonts w:ascii="Arial" w:hAnsi="Arial" w:cs="Arial"/>
          <w:sz w:val="24"/>
          <w:szCs w:val="24"/>
        </w:rPr>
        <w:t>Sōtō</w:t>
      </w:r>
      <w:proofErr w:type="spellEnd"/>
      <w:r w:rsidR="00F55A21">
        <w:rPr>
          <w:rFonts w:ascii="Arial" w:hAnsi="Arial" w:cs="Arial"/>
          <w:sz w:val="24"/>
          <w:szCs w:val="24"/>
        </w:rPr>
        <w:t>-</w:t>
      </w:r>
      <w:r w:rsidR="00EC586C">
        <w:rPr>
          <w:rFonts w:ascii="Arial" w:hAnsi="Arial" w:cs="Arial"/>
          <w:sz w:val="24"/>
          <w:szCs w:val="24"/>
        </w:rPr>
        <w:t xml:space="preserve">Zen-Buddhismus ordinierte Brian Victoria hat </w:t>
      </w:r>
      <w:r w:rsidR="00F55A21">
        <w:rPr>
          <w:rFonts w:ascii="Arial" w:hAnsi="Arial" w:cs="Arial"/>
          <w:sz w:val="24"/>
          <w:szCs w:val="24"/>
        </w:rPr>
        <w:t>mit</w:t>
      </w:r>
      <w:r w:rsidR="00372E54">
        <w:rPr>
          <w:rFonts w:ascii="Arial" w:hAnsi="Arial" w:cs="Arial"/>
          <w:sz w:val="24"/>
          <w:szCs w:val="24"/>
        </w:rPr>
        <w:t xml:space="preserve"> seinem Buch </w:t>
      </w:r>
      <w:r w:rsidR="00372E54">
        <w:rPr>
          <w:rFonts w:ascii="Arial" w:hAnsi="Arial" w:cs="Arial"/>
          <w:i/>
          <w:sz w:val="24"/>
          <w:szCs w:val="24"/>
        </w:rPr>
        <w:t xml:space="preserve">Zen, Nationalismus und Krieg </w:t>
      </w:r>
      <w:r w:rsidR="00EC586C">
        <w:rPr>
          <w:rFonts w:ascii="Arial" w:hAnsi="Arial" w:cs="Arial"/>
          <w:sz w:val="24"/>
          <w:szCs w:val="24"/>
        </w:rPr>
        <w:t>eine heftige Di</w:t>
      </w:r>
      <w:r w:rsidR="00EC586C">
        <w:rPr>
          <w:rFonts w:ascii="Arial" w:hAnsi="Arial" w:cs="Arial"/>
          <w:sz w:val="24"/>
          <w:szCs w:val="24"/>
        </w:rPr>
        <w:t>s</w:t>
      </w:r>
      <w:r w:rsidR="00EC586C">
        <w:rPr>
          <w:rFonts w:ascii="Arial" w:hAnsi="Arial" w:cs="Arial"/>
          <w:sz w:val="24"/>
          <w:szCs w:val="24"/>
        </w:rPr>
        <w:t xml:space="preserve">kussion über </w:t>
      </w:r>
      <w:r w:rsidR="00372E54">
        <w:rPr>
          <w:rFonts w:ascii="Arial" w:hAnsi="Arial" w:cs="Arial"/>
          <w:sz w:val="24"/>
          <w:szCs w:val="24"/>
        </w:rPr>
        <w:t xml:space="preserve">die </w:t>
      </w:r>
      <w:r w:rsidR="00EC586C">
        <w:rPr>
          <w:rFonts w:ascii="Arial" w:hAnsi="Arial" w:cs="Arial"/>
          <w:sz w:val="24"/>
          <w:szCs w:val="24"/>
        </w:rPr>
        <w:t>Einstellung japanischer Buddhisten zum Militarismus seit der Meiji-Reform 1868 ausgelöst</w:t>
      </w:r>
      <w:r w:rsidR="00EC586C">
        <w:rPr>
          <w:rStyle w:val="Funotenzeichen"/>
          <w:rFonts w:ascii="Arial" w:hAnsi="Arial" w:cs="Arial"/>
          <w:sz w:val="24"/>
          <w:szCs w:val="24"/>
        </w:rPr>
        <w:footnoteReference w:id="6"/>
      </w:r>
      <w:r w:rsidR="00372E54">
        <w:rPr>
          <w:rFonts w:ascii="Arial" w:hAnsi="Arial" w:cs="Arial"/>
          <w:sz w:val="24"/>
          <w:szCs w:val="24"/>
        </w:rPr>
        <w:t xml:space="preserve">. Er beschreibt darin, wie Zen-Buddhisten ihre Übungen im Sinne militaristischer Ziele eingesetzt haben, aber auch wie er selbst den Weg zur japanischen Anti-Vietnamkriegs-Bewegung gefunden hat. </w:t>
      </w:r>
      <w:r w:rsidR="00D436A0">
        <w:rPr>
          <w:rFonts w:ascii="Arial" w:hAnsi="Arial" w:cs="Arial"/>
          <w:sz w:val="24"/>
          <w:szCs w:val="24"/>
        </w:rPr>
        <w:t>Es geht ihm um die Offe</w:t>
      </w:r>
      <w:r w:rsidR="00D436A0">
        <w:rPr>
          <w:rFonts w:ascii="Arial" w:hAnsi="Arial" w:cs="Arial"/>
          <w:sz w:val="24"/>
          <w:szCs w:val="24"/>
        </w:rPr>
        <w:t>n</w:t>
      </w:r>
      <w:r w:rsidR="00D436A0">
        <w:rPr>
          <w:rFonts w:ascii="Arial" w:hAnsi="Arial" w:cs="Arial"/>
          <w:sz w:val="24"/>
          <w:szCs w:val="24"/>
        </w:rPr>
        <w:t xml:space="preserve">legung </w:t>
      </w:r>
      <w:r w:rsidR="00F55A21">
        <w:rPr>
          <w:rFonts w:ascii="Arial" w:hAnsi="Arial" w:cs="Arial"/>
          <w:sz w:val="24"/>
          <w:szCs w:val="24"/>
        </w:rPr>
        <w:t xml:space="preserve">und Überwindung </w:t>
      </w:r>
      <w:r w:rsidR="00D436A0">
        <w:rPr>
          <w:rFonts w:ascii="Arial" w:hAnsi="Arial" w:cs="Arial"/>
          <w:sz w:val="24"/>
          <w:szCs w:val="24"/>
        </w:rPr>
        <w:t>der Schattenseite im Buddhismus.</w:t>
      </w:r>
    </w:p>
    <w:p w:rsidR="00A53DF0" w:rsidRPr="00EC586C" w:rsidRDefault="00D436A0" w:rsidP="00893A89">
      <w:pPr>
        <w:spacing w:after="0" w:line="360" w:lineRule="auto"/>
        <w:jc w:val="both"/>
        <w:rPr>
          <w:rFonts w:ascii="Arial" w:hAnsi="Arial" w:cs="Arial"/>
          <w:sz w:val="24"/>
          <w:szCs w:val="24"/>
        </w:rPr>
      </w:pPr>
      <w:r>
        <w:rPr>
          <w:rFonts w:ascii="Arial" w:hAnsi="Arial" w:cs="Arial"/>
          <w:sz w:val="24"/>
          <w:szCs w:val="24"/>
        </w:rPr>
        <w:lastRenderedPageBreak/>
        <w:t xml:space="preserve">● </w:t>
      </w:r>
      <w:r w:rsidR="00F55A21">
        <w:rPr>
          <w:rFonts w:ascii="Arial" w:hAnsi="Arial" w:cs="Arial"/>
          <w:sz w:val="24"/>
          <w:szCs w:val="24"/>
        </w:rPr>
        <w:t xml:space="preserve">Zunächst unter </w:t>
      </w:r>
      <w:r>
        <w:rPr>
          <w:rFonts w:ascii="Arial" w:hAnsi="Arial" w:cs="Arial"/>
          <w:sz w:val="24"/>
          <w:szCs w:val="24"/>
        </w:rPr>
        <w:t>Pseudonym</w:t>
      </w:r>
      <w:r w:rsidR="00F55A21">
        <w:rPr>
          <w:rFonts w:ascii="Arial" w:hAnsi="Arial" w:cs="Arial"/>
          <w:sz w:val="24"/>
          <w:szCs w:val="24"/>
        </w:rPr>
        <w:t>, inzwischen aber dem angenommen bürgerlichen N</w:t>
      </w:r>
      <w:r w:rsidR="00F55A21">
        <w:rPr>
          <w:rFonts w:ascii="Arial" w:hAnsi="Arial" w:cs="Arial"/>
          <w:sz w:val="24"/>
          <w:szCs w:val="24"/>
        </w:rPr>
        <w:t>a</w:t>
      </w:r>
      <w:r w:rsidR="00F55A21">
        <w:rPr>
          <w:rFonts w:ascii="Arial" w:hAnsi="Arial" w:cs="Arial"/>
          <w:sz w:val="24"/>
          <w:szCs w:val="24"/>
        </w:rPr>
        <w:t>men</w:t>
      </w:r>
      <w:r>
        <w:rPr>
          <w:rFonts w:ascii="Arial" w:hAnsi="Arial" w:cs="Arial"/>
          <w:sz w:val="24"/>
          <w:szCs w:val="24"/>
        </w:rPr>
        <w:t xml:space="preserve"> Victor und Victoria </w:t>
      </w:r>
      <w:proofErr w:type="spellStart"/>
      <w:r>
        <w:rPr>
          <w:rFonts w:ascii="Arial" w:hAnsi="Arial" w:cs="Arial"/>
          <w:sz w:val="24"/>
          <w:szCs w:val="24"/>
        </w:rPr>
        <w:t>Trimondi</w:t>
      </w:r>
      <w:proofErr w:type="spellEnd"/>
      <w:r>
        <w:rPr>
          <w:rFonts w:ascii="Arial" w:hAnsi="Arial" w:cs="Arial"/>
          <w:sz w:val="24"/>
          <w:szCs w:val="24"/>
        </w:rPr>
        <w:t xml:space="preserve"> veröffentlichten Her</w:t>
      </w:r>
      <w:r w:rsidR="00C03460">
        <w:rPr>
          <w:rFonts w:ascii="Arial" w:hAnsi="Arial" w:cs="Arial"/>
          <w:sz w:val="24"/>
          <w:szCs w:val="24"/>
        </w:rPr>
        <w:t>be</w:t>
      </w:r>
      <w:r>
        <w:rPr>
          <w:rFonts w:ascii="Arial" w:hAnsi="Arial" w:cs="Arial"/>
          <w:sz w:val="24"/>
          <w:szCs w:val="24"/>
        </w:rPr>
        <w:t xml:space="preserve">rt und Mariana </w:t>
      </w:r>
      <w:proofErr w:type="spellStart"/>
      <w:r>
        <w:rPr>
          <w:rFonts w:ascii="Arial" w:hAnsi="Arial" w:cs="Arial"/>
          <w:sz w:val="24"/>
          <w:szCs w:val="24"/>
        </w:rPr>
        <w:t>Röttgen</w:t>
      </w:r>
      <w:proofErr w:type="spellEnd"/>
      <w:r>
        <w:rPr>
          <w:rFonts w:ascii="Arial" w:hAnsi="Arial" w:cs="Arial"/>
          <w:sz w:val="24"/>
          <w:szCs w:val="24"/>
        </w:rPr>
        <w:t xml:space="preserve"> 1999 das Buch </w:t>
      </w:r>
      <w:r>
        <w:rPr>
          <w:rFonts w:ascii="Arial" w:hAnsi="Arial" w:cs="Arial"/>
          <w:i/>
          <w:sz w:val="24"/>
          <w:szCs w:val="24"/>
        </w:rPr>
        <w:t>Der Schatten des Dalai Lama</w:t>
      </w:r>
      <w:r w:rsidR="00210D74">
        <w:rPr>
          <w:rFonts w:ascii="Arial" w:hAnsi="Arial" w:cs="Arial"/>
          <w:i/>
          <w:sz w:val="24"/>
          <w:szCs w:val="24"/>
        </w:rPr>
        <w:t xml:space="preserve">, </w:t>
      </w:r>
      <w:r w:rsidR="00210D74">
        <w:rPr>
          <w:rFonts w:ascii="Arial" w:hAnsi="Arial" w:cs="Arial"/>
          <w:sz w:val="24"/>
          <w:szCs w:val="24"/>
        </w:rPr>
        <w:t xml:space="preserve">dem sie 2002 ein </w:t>
      </w:r>
      <w:r w:rsidR="00F55A21">
        <w:rPr>
          <w:rFonts w:ascii="Arial" w:hAnsi="Arial" w:cs="Arial"/>
          <w:sz w:val="24"/>
          <w:szCs w:val="24"/>
        </w:rPr>
        <w:t xml:space="preserve">weiteres </w:t>
      </w:r>
      <w:r w:rsidR="00210D74">
        <w:rPr>
          <w:rFonts w:ascii="Arial" w:hAnsi="Arial" w:cs="Arial"/>
          <w:sz w:val="24"/>
          <w:szCs w:val="24"/>
        </w:rPr>
        <w:t xml:space="preserve">Buch mit dem Titel </w:t>
      </w:r>
      <w:r w:rsidR="00210D74">
        <w:rPr>
          <w:rFonts w:ascii="Arial" w:hAnsi="Arial" w:cs="Arial"/>
          <w:i/>
          <w:sz w:val="24"/>
          <w:szCs w:val="24"/>
        </w:rPr>
        <w:t xml:space="preserve">Hitler - Buddha – Krishna </w:t>
      </w:r>
      <w:r w:rsidR="00210D74" w:rsidRPr="00210D74">
        <w:rPr>
          <w:rFonts w:ascii="Arial" w:hAnsi="Arial" w:cs="Arial"/>
          <w:sz w:val="24"/>
          <w:szCs w:val="24"/>
        </w:rPr>
        <w:t>folgen ließen</w:t>
      </w:r>
      <w:r>
        <w:rPr>
          <w:rStyle w:val="Funotenzeichen"/>
          <w:rFonts w:ascii="Arial" w:hAnsi="Arial" w:cs="Arial"/>
          <w:i/>
          <w:sz w:val="24"/>
          <w:szCs w:val="24"/>
        </w:rPr>
        <w:footnoteReference w:id="7"/>
      </w:r>
      <w:r w:rsidR="00C03460">
        <w:rPr>
          <w:rFonts w:ascii="Arial" w:hAnsi="Arial" w:cs="Arial"/>
          <w:sz w:val="24"/>
          <w:szCs w:val="24"/>
        </w:rPr>
        <w:t xml:space="preserve">. Die größte Schwäche </w:t>
      </w:r>
      <w:r w:rsidR="00210D74">
        <w:rPr>
          <w:rFonts w:ascii="Arial" w:hAnsi="Arial" w:cs="Arial"/>
          <w:sz w:val="24"/>
          <w:szCs w:val="24"/>
        </w:rPr>
        <w:t>ihrer Publikati</w:t>
      </w:r>
      <w:r w:rsidR="00210D74">
        <w:rPr>
          <w:rFonts w:ascii="Arial" w:hAnsi="Arial" w:cs="Arial"/>
          <w:sz w:val="24"/>
          <w:szCs w:val="24"/>
        </w:rPr>
        <w:t>o</w:t>
      </w:r>
      <w:r w:rsidR="00210D74">
        <w:rPr>
          <w:rFonts w:ascii="Arial" w:hAnsi="Arial" w:cs="Arial"/>
          <w:sz w:val="24"/>
          <w:szCs w:val="24"/>
        </w:rPr>
        <w:t xml:space="preserve">nen </w:t>
      </w:r>
      <w:r w:rsidR="00C03460">
        <w:rPr>
          <w:rFonts w:ascii="Arial" w:hAnsi="Arial" w:cs="Arial"/>
          <w:sz w:val="24"/>
          <w:szCs w:val="24"/>
        </w:rPr>
        <w:t>besteht darin, dass mythische Vorstellung</w:t>
      </w:r>
      <w:r w:rsidR="00210D74">
        <w:rPr>
          <w:rFonts w:ascii="Arial" w:hAnsi="Arial" w:cs="Arial"/>
          <w:sz w:val="24"/>
          <w:szCs w:val="24"/>
        </w:rPr>
        <w:t xml:space="preserve">en </w:t>
      </w:r>
      <w:r w:rsidR="00C03460">
        <w:rPr>
          <w:rFonts w:ascii="Arial" w:hAnsi="Arial" w:cs="Arial"/>
          <w:sz w:val="24"/>
          <w:szCs w:val="24"/>
        </w:rPr>
        <w:t>als realpolitische historische Geg</w:t>
      </w:r>
      <w:r w:rsidR="00C03460">
        <w:rPr>
          <w:rFonts w:ascii="Arial" w:hAnsi="Arial" w:cs="Arial"/>
          <w:sz w:val="24"/>
          <w:szCs w:val="24"/>
        </w:rPr>
        <w:t>e</w:t>
      </w:r>
      <w:r w:rsidR="00C03460">
        <w:rPr>
          <w:rFonts w:ascii="Arial" w:hAnsi="Arial" w:cs="Arial"/>
          <w:sz w:val="24"/>
          <w:szCs w:val="24"/>
        </w:rPr>
        <w:t xml:space="preserve">benheiten ausgegeben werden und </w:t>
      </w:r>
      <w:r w:rsidR="00210D74">
        <w:rPr>
          <w:rFonts w:ascii="Arial" w:hAnsi="Arial" w:cs="Arial"/>
          <w:sz w:val="24"/>
          <w:szCs w:val="24"/>
        </w:rPr>
        <w:t xml:space="preserve">es so </w:t>
      </w:r>
      <w:r w:rsidR="00C03460">
        <w:rPr>
          <w:rFonts w:ascii="Arial" w:hAnsi="Arial" w:cs="Arial"/>
          <w:sz w:val="24"/>
          <w:szCs w:val="24"/>
        </w:rPr>
        <w:t xml:space="preserve">zweifellos </w:t>
      </w:r>
      <w:r w:rsidR="00210D74">
        <w:rPr>
          <w:rFonts w:ascii="Arial" w:hAnsi="Arial" w:cs="Arial"/>
          <w:sz w:val="24"/>
          <w:szCs w:val="24"/>
        </w:rPr>
        <w:t xml:space="preserve">zu </w:t>
      </w:r>
      <w:r w:rsidR="00C03460">
        <w:rPr>
          <w:rFonts w:ascii="Arial" w:hAnsi="Arial" w:cs="Arial"/>
          <w:sz w:val="24"/>
          <w:szCs w:val="24"/>
        </w:rPr>
        <w:t>deutliche</w:t>
      </w:r>
      <w:r w:rsidR="00210D74">
        <w:rPr>
          <w:rFonts w:ascii="Arial" w:hAnsi="Arial" w:cs="Arial"/>
          <w:sz w:val="24"/>
          <w:szCs w:val="24"/>
        </w:rPr>
        <w:t>n</w:t>
      </w:r>
      <w:r w:rsidR="00C03460">
        <w:rPr>
          <w:rFonts w:ascii="Arial" w:hAnsi="Arial" w:cs="Arial"/>
          <w:sz w:val="24"/>
          <w:szCs w:val="24"/>
        </w:rPr>
        <w:t xml:space="preserve"> Überzeichnung</w:t>
      </w:r>
      <w:r w:rsidR="00210D74">
        <w:rPr>
          <w:rFonts w:ascii="Arial" w:hAnsi="Arial" w:cs="Arial"/>
          <w:sz w:val="24"/>
          <w:szCs w:val="24"/>
        </w:rPr>
        <w:t xml:space="preserve">en kommt. Ob der Dalai Lama angesichts </w:t>
      </w:r>
      <w:r w:rsidR="00F55A21">
        <w:rPr>
          <w:rFonts w:ascii="Arial" w:hAnsi="Arial" w:cs="Arial"/>
          <w:sz w:val="24"/>
          <w:szCs w:val="24"/>
        </w:rPr>
        <w:t xml:space="preserve">dieser </w:t>
      </w:r>
      <w:r w:rsidR="00210D74">
        <w:rPr>
          <w:rFonts w:ascii="Arial" w:hAnsi="Arial" w:cs="Arial"/>
          <w:sz w:val="24"/>
          <w:szCs w:val="24"/>
        </w:rPr>
        <w:t xml:space="preserve"> Veröffentlichungen </w:t>
      </w:r>
      <w:r w:rsidR="00F55A21">
        <w:rPr>
          <w:rFonts w:ascii="Arial" w:hAnsi="Arial" w:cs="Arial"/>
          <w:sz w:val="24"/>
          <w:szCs w:val="24"/>
        </w:rPr>
        <w:t xml:space="preserve">aber </w:t>
      </w:r>
      <w:r w:rsidR="00210D74">
        <w:rPr>
          <w:rFonts w:ascii="Arial" w:hAnsi="Arial" w:cs="Arial"/>
          <w:sz w:val="24"/>
          <w:szCs w:val="24"/>
        </w:rPr>
        <w:t xml:space="preserve">so laut </w:t>
      </w:r>
      <w:r w:rsidR="000C42ED">
        <w:rPr>
          <w:rFonts w:ascii="Arial" w:hAnsi="Arial" w:cs="Arial"/>
          <w:sz w:val="24"/>
          <w:szCs w:val="24"/>
        </w:rPr>
        <w:t>g</w:t>
      </w:r>
      <w:r w:rsidR="000C42ED">
        <w:rPr>
          <w:rFonts w:ascii="Arial" w:hAnsi="Arial" w:cs="Arial"/>
          <w:sz w:val="24"/>
          <w:szCs w:val="24"/>
        </w:rPr>
        <w:t>e</w:t>
      </w:r>
      <w:r w:rsidR="00210D74">
        <w:rPr>
          <w:rFonts w:ascii="Arial" w:hAnsi="Arial" w:cs="Arial"/>
          <w:sz w:val="24"/>
          <w:szCs w:val="24"/>
        </w:rPr>
        <w:t>lacht</w:t>
      </w:r>
      <w:r w:rsidR="000C42ED">
        <w:rPr>
          <w:rFonts w:ascii="Arial" w:hAnsi="Arial" w:cs="Arial"/>
          <w:sz w:val="24"/>
          <w:szCs w:val="24"/>
        </w:rPr>
        <w:t xml:space="preserve"> hat</w:t>
      </w:r>
      <w:r w:rsidR="00210D74">
        <w:rPr>
          <w:rFonts w:ascii="Arial" w:hAnsi="Arial" w:cs="Arial"/>
          <w:sz w:val="24"/>
          <w:szCs w:val="24"/>
        </w:rPr>
        <w:t>, wie es die F.A.Z. am</w:t>
      </w:r>
      <w:r w:rsidR="000C42ED">
        <w:rPr>
          <w:rFonts w:ascii="Arial" w:hAnsi="Arial" w:cs="Arial"/>
          <w:sz w:val="24"/>
          <w:szCs w:val="24"/>
        </w:rPr>
        <w:t xml:space="preserve"> 23.9.1999 verkündete, sei dahingestellt</w:t>
      </w:r>
      <w:r w:rsidR="000C42ED">
        <w:rPr>
          <w:rStyle w:val="Funotenzeichen"/>
          <w:rFonts w:ascii="Arial" w:hAnsi="Arial" w:cs="Arial"/>
          <w:sz w:val="24"/>
          <w:szCs w:val="24"/>
        </w:rPr>
        <w:footnoteReference w:id="8"/>
      </w:r>
      <w:r w:rsidR="000C42ED">
        <w:rPr>
          <w:rFonts w:ascii="Arial" w:hAnsi="Arial" w:cs="Arial"/>
          <w:sz w:val="24"/>
          <w:szCs w:val="24"/>
        </w:rPr>
        <w:t>. Eher ist zu beachten, dass der Buddhismus an dieser Stelle in die Nähe jener kritischen B</w:t>
      </w:r>
      <w:r w:rsidR="000C42ED">
        <w:rPr>
          <w:rFonts w:ascii="Arial" w:hAnsi="Arial" w:cs="Arial"/>
          <w:sz w:val="24"/>
          <w:szCs w:val="24"/>
        </w:rPr>
        <w:t>e</w:t>
      </w:r>
      <w:r w:rsidR="000C42ED">
        <w:rPr>
          <w:rFonts w:ascii="Arial" w:hAnsi="Arial" w:cs="Arial"/>
          <w:sz w:val="24"/>
          <w:szCs w:val="24"/>
        </w:rPr>
        <w:t>obachtungen rückt, die uns im Hinblick auf das Christentum und seine Geschichte seit langem bekannt sind.</w:t>
      </w:r>
      <w:r w:rsidR="00210D74">
        <w:rPr>
          <w:rFonts w:ascii="Arial" w:hAnsi="Arial" w:cs="Arial"/>
          <w:sz w:val="24"/>
          <w:szCs w:val="24"/>
        </w:rPr>
        <w:t xml:space="preserve"> </w:t>
      </w:r>
      <w:r w:rsidR="00372E54">
        <w:rPr>
          <w:rFonts w:ascii="Arial" w:hAnsi="Arial" w:cs="Arial"/>
          <w:sz w:val="24"/>
          <w:szCs w:val="24"/>
        </w:rPr>
        <w:t xml:space="preserve">. </w:t>
      </w:r>
    </w:p>
    <w:p w:rsidR="000C42ED" w:rsidRDefault="000C42ED" w:rsidP="00893A89">
      <w:pPr>
        <w:spacing w:after="0" w:line="360" w:lineRule="auto"/>
        <w:jc w:val="both"/>
        <w:rPr>
          <w:rFonts w:ascii="Arial" w:hAnsi="Arial" w:cs="Arial"/>
          <w:sz w:val="24"/>
          <w:szCs w:val="24"/>
        </w:rPr>
      </w:pPr>
      <w:r>
        <w:rPr>
          <w:rFonts w:ascii="Arial" w:hAnsi="Arial" w:cs="Arial"/>
          <w:sz w:val="24"/>
          <w:szCs w:val="24"/>
        </w:rPr>
        <w:t xml:space="preserve">● </w:t>
      </w:r>
      <w:proofErr w:type="spellStart"/>
      <w:r w:rsidR="002966FE">
        <w:rPr>
          <w:rFonts w:ascii="Arial" w:hAnsi="Arial" w:cs="Arial"/>
          <w:i/>
          <w:sz w:val="24"/>
          <w:szCs w:val="24"/>
        </w:rPr>
        <w:t>Ayodhya</w:t>
      </w:r>
      <w:proofErr w:type="spellEnd"/>
      <w:r w:rsidR="002966FE">
        <w:rPr>
          <w:rFonts w:ascii="Arial" w:hAnsi="Arial" w:cs="Arial"/>
          <w:i/>
          <w:sz w:val="24"/>
          <w:szCs w:val="24"/>
        </w:rPr>
        <w:t xml:space="preserve">: </w:t>
      </w:r>
      <w:r w:rsidR="002966FE">
        <w:rPr>
          <w:rFonts w:ascii="Arial" w:hAnsi="Arial" w:cs="Arial"/>
          <w:sz w:val="24"/>
          <w:szCs w:val="24"/>
        </w:rPr>
        <w:t xml:space="preserve">Die Stadt im Bundesstaat Uttar Pradesh gehört zu den heiligen Stätten des Hinduismus, an denen die Geburt des Gottes Rama verehrt wird. </w:t>
      </w:r>
      <w:r w:rsidR="007D787B">
        <w:rPr>
          <w:rFonts w:ascii="Arial" w:hAnsi="Arial" w:cs="Arial"/>
          <w:sz w:val="24"/>
          <w:szCs w:val="24"/>
        </w:rPr>
        <w:t>An dem Platz, wo ein Gedenktempel gestanden haben soll, wurde aber bereits im 16. Jahrhundert eine Moschee errichtet. Am 6. De</w:t>
      </w:r>
      <w:r w:rsidR="00F55A21">
        <w:rPr>
          <w:rFonts w:ascii="Arial" w:hAnsi="Arial" w:cs="Arial"/>
          <w:sz w:val="24"/>
          <w:szCs w:val="24"/>
        </w:rPr>
        <w:t xml:space="preserve">zember 1992 wurde diese </w:t>
      </w:r>
      <w:r w:rsidR="007D787B">
        <w:rPr>
          <w:rFonts w:ascii="Arial" w:hAnsi="Arial" w:cs="Arial"/>
          <w:sz w:val="24"/>
          <w:szCs w:val="24"/>
        </w:rPr>
        <w:t>durch fanatisierte Hindus zerstört</w:t>
      </w:r>
      <w:r w:rsidR="00DB68CA">
        <w:rPr>
          <w:rFonts w:ascii="Arial" w:hAnsi="Arial" w:cs="Arial"/>
          <w:sz w:val="24"/>
          <w:szCs w:val="24"/>
        </w:rPr>
        <w:t xml:space="preserve"> und </w:t>
      </w:r>
      <w:r w:rsidR="00F55A21">
        <w:rPr>
          <w:rFonts w:ascii="Arial" w:hAnsi="Arial" w:cs="Arial"/>
          <w:sz w:val="24"/>
          <w:szCs w:val="24"/>
        </w:rPr>
        <w:t xml:space="preserve">dann </w:t>
      </w:r>
      <w:r w:rsidR="00DB68CA">
        <w:rPr>
          <w:rFonts w:ascii="Arial" w:hAnsi="Arial" w:cs="Arial"/>
          <w:sz w:val="24"/>
          <w:szCs w:val="24"/>
        </w:rPr>
        <w:t xml:space="preserve">an der Stelle ein </w:t>
      </w:r>
      <w:r w:rsidR="00F55A21">
        <w:rPr>
          <w:rFonts w:ascii="Arial" w:hAnsi="Arial" w:cs="Arial"/>
          <w:sz w:val="24"/>
          <w:szCs w:val="24"/>
        </w:rPr>
        <w:t xml:space="preserve">neuer </w:t>
      </w:r>
      <w:r w:rsidR="00DB68CA">
        <w:rPr>
          <w:rFonts w:ascii="Arial" w:hAnsi="Arial" w:cs="Arial"/>
          <w:sz w:val="24"/>
          <w:szCs w:val="24"/>
        </w:rPr>
        <w:t>Tempel zu Ehren Rams errichtet. Seither kam es wiederholt zu Ausschreitungen von beiden Seiten, bei denen auch Vertreter beider Seiten ums Leben kamen.</w:t>
      </w:r>
      <w:r>
        <w:rPr>
          <w:rFonts w:ascii="Arial" w:hAnsi="Arial" w:cs="Arial"/>
          <w:sz w:val="24"/>
          <w:szCs w:val="24"/>
        </w:rPr>
        <w:t xml:space="preserve"> </w:t>
      </w:r>
    </w:p>
    <w:p w:rsidR="00DE35EB" w:rsidRDefault="000C42ED" w:rsidP="00893A89">
      <w:pPr>
        <w:spacing w:after="0" w:line="360" w:lineRule="auto"/>
        <w:jc w:val="both"/>
        <w:rPr>
          <w:rFonts w:ascii="Arial" w:hAnsi="Arial" w:cs="Arial"/>
          <w:sz w:val="24"/>
          <w:szCs w:val="24"/>
        </w:rPr>
      </w:pPr>
      <w:r>
        <w:rPr>
          <w:rFonts w:ascii="Arial" w:hAnsi="Arial" w:cs="Arial"/>
          <w:sz w:val="24"/>
          <w:szCs w:val="24"/>
        </w:rPr>
        <w:t xml:space="preserve">Wenn in </w:t>
      </w:r>
      <w:r w:rsidR="00F55A21">
        <w:rPr>
          <w:rFonts w:ascii="Arial" w:hAnsi="Arial" w:cs="Arial"/>
          <w:sz w:val="24"/>
          <w:szCs w:val="24"/>
        </w:rPr>
        <w:t>manchen</w:t>
      </w:r>
      <w:r>
        <w:rPr>
          <w:rFonts w:ascii="Arial" w:hAnsi="Arial" w:cs="Arial"/>
          <w:sz w:val="24"/>
          <w:szCs w:val="24"/>
        </w:rPr>
        <w:t xml:space="preserve"> zuvor genannten Beispielen Zweifel geäußert werden konnten, weil ethnische Fragen sich mit religiösen Motiven vermischten oder aber auch ganz einfach die </w:t>
      </w:r>
      <w:r w:rsidR="004E2801">
        <w:rPr>
          <w:rFonts w:ascii="Arial" w:hAnsi="Arial" w:cs="Arial"/>
          <w:sz w:val="24"/>
          <w:szCs w:val="24"/>
        </w:rPr>
        <w:t xml:space="preserve">historischen Fakten in Frage </w:t>
      </w:r>
      <w:r w:rsidR="00411F5F">
        <w:rPr>
          <w:rFonts w:ascii="Arial" w:hAnsi="Arial" w:cs="Arial"/>
          <w:sz w:val="24"/>
          <w:szCs w:val="24"/>
        </w:rPr>
        <w:t>zu stellen sind</w:t>
      </w:r>
      <w:r w:rsidR="004E2801">
        <w:rPr>
          <w:rFonts w:ascii="Arial" w:hAnsi="Arial" w:cs="Arial"/>
          <w:sz w:val="24"/>
          <w:szCs w:val="24"/>
        </w:rPr>
        <w:t xml:space="preserve">, ist </w:t>
      </w:r>
      <w:proofErr w:type="spellStart"/>
      <w:r w:rsidR="004E2801">
        <w:rPr>
          <w:rFonts w:ascii="Arial" w:hAnsi="Arial" w:cs="Arial"/>
          <w:sz w:val="24"/>
          <w:szCs w:val="24"/>
        </w:rPr>
        <w:t>Ayodhya</w:t>
      </w:r>
      <w:proofErr w:type="spellEnd"/>
      <w:r w:rsidR="004E2801">
        <w:rPr>
          <w:rFonts w:ascii="Arial" w:hAnsi="Arial" w:cs="Arial"/>
          <w:sz w:val="24"/>
          <w:szCs w:val="24"/>
        </w:rPr>
        <w:t xml:space="preserve"> zweifelsfrei ein interreligiöser Konflikt, der gewalttätig ausgetragen wird. Das führt zu der Frage: Hat sich </w:t>
      </w:r>
      <w:r w:rsidR="00411F5F">
        <w:rPr>
          <w:rFonts w:ascii="Arial" w:hAnsi="Arial" w:cs="Arial"/>
          <w:sz w:val="24"/>
          <w:szCs w:val="24"/>
        </w:rPr>
        <w:t xml:space="preserve">nicht </w:t>
      </w:r>
      <w:r w:rsidR="004E2801">
        <w:rPr>
          <w:rFonts w:ascii="Arial" w:hAnsi="Arial" w:cs="Arial"/>
          <w:sz w:val="24"/>
          <w:szCs w:val="24"/>
        </w:rPr>
        <w:t xml:space="preserve">die </w:t>
      </w:r>
      <w:r w:rsidR="00411F5F">
        <w:rPr>
          <w:rFonts w:ascii="Arial" w:hAnsi="Arial" w:cs="Arial"/>
          <w:sz w:val="24"/>
          <w:szCs w:val="24"/>
        </w:rPr>
        <w:t xml:space="preserve">europäische </w:t>
      </w:r>
      <w:r w:rsidR="004E2801">
        <w:rPr>
          <w:rFonts w:ascii="Arial" w:hAnsi="Arial" w:cs="Arial"/>
          <w:sz w:val="24"/>
          <w:szCs w:val="24"/>
        </w:rPr>
        <w:t xml:space="preserve">Kritik der heimischen Religion des Christentums  in der Idealisierung von Hinduismus und Buddhismus ein Ventil geschaffen, </w:t>
      </w:r>
      <w:r w:rsidR="00411F5F">
        <w:rPr>
          <w:rFonts w:ascii="Arial" w:hAnsi="Arial" w:cs="Arial"/>
          <w:sz w:val="24"/>
          <w:szCs w:val="24"/>
        </w:rPr>
        <w:t xml:space="preserve">um </w:t>
      </w:r>
      <w:r w:rsidR="004E2801">
        <w:rPr>
          <w:rFonts w:ascii="Arial" w:hAnsi="Arial" w:cs="Arial"/>
          <w:sz w:val="24"/>
          <w:szCs w:val="24"/>
        </w:rPr>
        <w:t>der Chri</w:t>
      </w:r>
      <w:r w:rsidR="004E2801">
        <w:rPr>
          <w:rFonts w:ascii="Arial" w:hAnsi="Arial" w:cs="Arial"/>
          <w:sz w:val="24"/>
          <w:szCs w:val="24"/>
        </w:rPr>
        <w:t>s</w:t>
      </w:r>
      <w:r w:rsidR="004E2801">
        <w:rPr>
          <w:rFonts w:ascii="Arial" w:hAnsi="Arial" w:cs="Arial"/>
          <w:sz w:val="24"/>
          <w:szCs w:val="24"/>
        </w:rPr>
        <w:t>tentumskritik mit</w:t>
      </w:r>
      <w:r w:rsidR="00411F5F">
        <w:rPr>
          <w:rFonts w:ascii="Arial" w:hAnsi="Arial" w:cs="Arial"/>
          <w:sz w:val="24"/>
          <w:szCs w:val="24"/>
        </w:rPr>
        <w:t xml:space="preserve"> einer idealen Gegenposition </w:t>
      </w:r>
      <w:r w:rsidR="004E2801">
        <w:rPr>
          <w:rFonts w:ascii="Arial" w:hAnsi="Arial" w:cs="Arial"/>
          <w:sz w:val="24"/>
          <w:szCs w:val="24"/>
        </w:rPr>
        <w:t>begegnen</w:t>
      </w:r>
      <w:r w:rsidR="00411F5F">
        <w:rPr>
          <w:rFonts w:ascii="Arial" w:hAnsi="Arial" w:cs="Arial"/>
          <w:sz w:val="24"/>
          <w:szCs w:val="24"/>
        </w:rPr>
        <w:t xml:space="preserve"> zu können</w:t>
      </w:r>
      <w:r w:rsidR="004E2801">
        <w:rPr>
          <w:rFonts w:ascii="Arial" w:hAnsi="Arial" w:cs="Arial"/>
          <w:sz w:val="24"/>
          <w:szCs w:val="24"/>
        </w:rPr>
        <w:t xml:space="preserve">? Oder ist es nicht an der Zeit, Realitäten mit Realitäten, Ideale mit Idealen zu vergleichen? </w:t>
      </w:r>
    </w:p>
    <w:p w:rsidR="00FE1075" w:rsidRDefault="004E2801" w:rsidP="00893A89">
      <w:pPr>
        <w:spacing w:after="0" w:line="360" w:lineRule="auto"/>
        <w:jc w:val="both"/>
        <w:rPr>
          <w:rFonts w:ascii="Arial" w:hAnsi="Arial" w:cs="Arial"/>
          <w:sz w:val="24"/>
          <w:szCs w:val="24"/>
        </w:rPr>
      </w:pPr>
      <w:r>
        <w:rPr>
          <w:rFonts w:ascii="Arial" w:hAnsi="Arial" w:cs="Arial"/>
          <w:sz w:val="24"/>
          <w:szCs w:val="24"/>
        </w:rPr>
        <w:t>Die wenigen angedeuteten Beobachtungen asiatischer Gegebenheiten, die im Ei</w:t>
      </w:r>
      <w:r>
        <w:rPr>
          <w:rFonts w:ascii="Arial" w:hAnsi="Arial" w:cs="Arial"/>
          <w:sz w:val="24"/>
          <w:szCs w:val="24"/>
        </w:rPr>
        <w:t>n</w:t>
      </w:r>
      <w:r>
        <w:rPr>
          <w:rFonts w:ascii="Arial" w:hAnsi="Arial" w:cs="Arial"/>
          <w:sz w:val="24"/>
          <w:szCs w:val="24"/>
        </w:rPr>
        <w:t xml:space="preserve">zelnen genauer zu entfalten und zu prüfen wären, beweisen jedenfalls jetzt bereits, dass Gewalt und Gewalttätigkeit, wenn sie schon religiös motiviert oder zumindest mitbestimmt sind, </w:t>
      </w:r>
      <w:r w:rsidR="00DE35EB">
        <w:rPr>
          <w:rFonts w:ascii="Arial" w:hAnsi="Arial" w:cs="Arial"/>
          <w:sz w:val="24"/>
          <w:szCs w:val="24"/>
        </w:rPr>
        <w:t xml:space="preserve">sich </w:t>
      </w:r>
      <w:r w:rsidR="00411F5F">
        <w:rPr>
          <w:rFonts w:ascii="Arial" w:hAnsi="Arial" w:cs="Arial"/>
          <w:sz w:val="24"/>
          <w:szCs w:val="24"/>
        </w:rPr>
        <w:t xml:space="preserve">nicht </w:t>
      </w:r>
      <w:r w:rsidR="00DE35EB">
        <w:rPr>
          <w:rFonts w:ascii="Arial" w:hAnsi="Arial" w:cs="Arial"/>
          <w:sz w:val="24"/>
          <w:szCs w:val="24"/>
        </w:rPr>
        <w:t>allein auf den Raum monotheistischer Religionen b</w:t>
      </w:r>
      <w:r w:rsidR="00DE35EB">
        <w:rPr>
          <w:rFonts w:ascii="Arial" w:hAnsi="Arial" w:cs="Arial"/>
          <w:sz w:val="24"/>
          <w:szCs w:val="24"/>
        </w:rPr>
        <w:t>e</w:t>
      </w:r>
      <w:r w:rsidR="00DE35EB">
        <w:rPr>
          <w:rFonts w:ascii="Arial" w:hAnsi="Arial" w:cs="Arial"/>
          <w:sz w:val="24"/>
          <w:szCs w:val="24"/>
        </w:rPr>
        <w:t>schränken. Ulrich Dehn hat jüngst den Verdacht geäußert, „dass die mediale Pr</w:t>
      </w:r>
      <w:r w:rsidR="00DE35EB">
        <w:rPr>
          <w:rFonts w:ascii="Arial" w:hAnsi="Arial" w:cs="Arial"/>
          <w:sz w:val="24"/>
          <w:szCs w:val="24"/>
        </w:rPr>
        <w:t>ä</w:t>
      </w:r>
      <w:r w:rsidR="00DE35EB">
        <w:rPr>
          <w:rFonts w:ascii="Arial" w:hAnsi="Arial" w:cs="Arial"/>
          <w:sz w:val="24"/>
          <w:szCs w:val="24"/>
        </w:rPr>
        <w:lastRenderedPageBreak/>
        <w:t>senz die gefühlten Wirklichkeiten konstruiert“</w:t>
      </w:r>
      <w:r w:rsidR="00DE35EB">
        <w:rPr>
          <w:rStyle w:val="Funotenzeichen"/>
          <w:rFonts w:ascii="Arial" w:hAnsi="Arial" w:cs="Arial"/>
          <w:sz w:val="24"/>
          <w:szCs w:val="24"/>
        </w:rPr>
        <w:footnoteReference w:id="9"/>
      </w:r>
      <w:r w:rsidR="00FE1075">
        <w:rPr>
          <w:rFonts w:ascii="Arial" w:hAnsi="Arial" w:cs="Arial"/>
          <w:sz w:val="24"/>
          <w:szCs w:val="24"/>
        </w:rPr>
        <w:t>. Er untermauert sein Urteil mit folge</w:t>
      </w:r>
      <w:r w:rsidR="00FE1075">
        <w:rPr>
          <w:rFonts w:ascii="Arial" w:hAnsi="Arial" w:cs="Arial"/>
          <w:sz w:val="24"/>
          <w:szCs w:val="24"/>
        </w:rPr>
        <w:t>n</w:t>
      </w:r>
      <w:r w:rsidR="00FE1075">
        <w:rPr>
          <w:rFonts w:ascii="Arial" w:hAnsi="Arial" w:cs="Arial"/>
          <w:sz w:val="24"/>
          <w:szCs w:val="24"/>
        </w:rPr>
        <w:t xml:space="preserve">den </w:t>
      </w:r>
      <w:r w:rsidR="00411F5F">
        <w:rPr>
          <w:rFonts w:ascii="Arial" w:hAnsi="Arial" w:cs="Arial"/>
          <w:sz w:val="24"/>
          <w:szCs w:val="24"/>
        </w:rPr>
        <w:t xml:space="preserve">weiteren </w:t>
      </w:r>
      <w:r w:rsidR="00FE1075">
        <w:rPr>
          <w:rFonts w:ascii="Arial" w:hAnsi="Arial" w:cs="Arial"/>
          <w:sz w:val="24"/>
          <w:szCs w:val="24"/>
        </w:rPr>
        <w:t>Beispielen:</w:t>
      </w:r>
    </w:p>
    <w:p w:rsidR="00FE1075" w:rsidRDefault="00FE1075" w:rsidP="00FE1075">
      <w:pPr>
        <w:spacing w:after="0" w:line="240" w:lineRule="auto"/>
        <w:ind w:left="708"/>
        <w:jc w:val="both"/>
        <w:rPr>
          <w:rFonts w:ascii="Arial" w:hAnsi="Arial" w:cs="Arial"/>
          <w:sz w:val="24"/>
          <w:szCs w:val="24"/>
        </w:rPr>
      </w:pPr>
      <w:r>
        <w:rPr>
          <w:rFonts w:ascii="Arial" w:hAnsi="Arial" w:cs="Arial"/>
          <w:sz w:val="24"/>
          <w:szCs w:val="24"/>
        </w:rPr>
        <w:t xml:space="preserve">„So ging die Zerstörung der stehenden Buddha-Statuen im </w:t>
      </w:r>
      <w:proofErr w:type="spellStart"/>
      <w:r>
        <w:rPr>
          <w:rFonts w:ascii="Arial" w:hAnsi="Arial" w:cs="Arial"/>
          <w:sz w:val="24"/>
          <w:szCs w:val="24"/>
        </w:rPr>
        <w:t>Bamiyan</w:t>
      </w:r>
      <w:proofErr w:type="spellEnd"/>
      <w:r>
        <w:rPr>
          <w:rFonts w:ascii="Arial" w:hAnsi="Arial" w:cs="Arial"/>
          <w:sz w:val="24"/>
          <w:szCs w:val="24"/>
        </w:rPr>
        <w:t>-Tal in A</w:t>
      </w:r>
      <w:r>
        <w:rPr>
          <w:rFonts w:ascii="Arial" w:hAnsi="Arial" w:cs="Arial"/>
          <w:sz w:val="24"/>
          <w:szCs w:val="24"/>
        </w:rPr>
        <w:t>f</w:t>
      </w:r>
      <w:r>
        <w:rPr>
          <w:rFonts w:ascii="Arial" w:hAnsi="Arial" w:cs="Arial"/>
          <w:sz w:val="24"/>
          <w:szCs w:val="24"/>
        </w:rPr>
        <w:t>ghanistan durch die Taliban im März 2001 als Akt islamischer Barbarei wel</w:t>
      </w:r>
      <w:r>
        <w:rPr>
          <w:rFonts w:ascii="Arial" w:hAnsi="Arial" w:cs="Arial"/>
          <w:sz w:val="24"/>
          <w:szCs w:val="24"/>
        </w:rPr>
        <w:t>t</w:t>
      </w:r>
      <w:r>
        <w:rPr>
          <w:rFonts w:ascii="Arial" w:hAnsi="Arial" w:cs="Arial"/>
          <w:sz w:val="24"/>
          <w:szCs w:val="24"/>
        </w:rPr>
        <w:t>weit durch die Medien. Einige Jahre zuvor, 1998/99, war in Japan die unsinn</w:t>
      </w:r>
      <w:r>
        <w:rPr>
          <w:rFonts w:ascii="Arial" w:hAnsi="Arial" w:cs="Arial"/>
          <w:sz w:val="24"/>
          <w:szCs w:val="24"/>
        </w:rPr>
        <w:t>i</w:t>
      </w:r>
      <w:r>
        <w:rPr>
          <w:rFonts w:ascii="Arial" w:hAnsi="Arial" w:cs="Arial"/>
          <w:sz w:val="24"/>
          <w:szCs w:val="24"/>
        </w:rPr>
        <w:t>ge Zerstörung eines großen und architektonisch einzigartigen Versammlung</w:t>
      </w:r>
      <w:r>
        <w:rPr>
          <w:rFonts w:ascii="Arial" w:hAnsi="Arial" w:cs="Arial"/>
          <w:sz w:val="24"/>
          <w:szCs w:val="24"/>
        </w:rPr>
        <w:t>s</w:t>
      </w:r>
      <w:r w:rsidR="00411F5F">
        <w:rPr>
          <w:rFonts w:ascii="Arial" w:hAnsi="Arial" w:cs="Arial"/>
          <w:sz w:val="24"/>
          <w:szCs w:val="24"/>
        </w:rPr>
        <w:t>hauses</w:t>
      </w:r>
      <w:r>
        <w:rPr>
          <w:rFonts w:ascii="Arial" w:hAnsi="Arial" w:cs="Arial"/>
          <w:sz w:val="24"/>
          <w:szCs w:val="24"/>
        </w:rPr>
        <w:t xml:space="preserve"> erfolgt, das die japanische buddhistische Laienbewegung </w:t>
      </w:r>
      <w:proofErr w:type="spellStart"/>
      <w:r>
        <w:rPr>
          <w:rFonts w:ascii="Arial" w:hAnsi="Arial" w:cs="Arial"/>
          <w:sz w:val="24"/>
          <w:szCs w:val="24"/>
        </w:rPr>
        <w:t>Soka</w:t>
      </w:r>
      <w:proofErr w:type="spellEnd"/>
      <w:r>
        <w:rPr>
          <w:rFonts w:ascii="Arial" w:hAnsi="Arial" w:cs="Arial"/>
          <w:sz w:val="24"/>
          <w:szCs w:val="24"/>
        </w:rPr>
        <w:t xml:space="preserve"> </w:t>
      </w:r>
      <w:proofErr w:type="spellStart"/>
      <w:r>
        <w:rPr>
          <w:rFonts w:ascii="Arial" w:hAnsi="Arial" w:cs="Arial"/>
          <w:sz w:val="24"/>
          <w:szCs w:val="24"/>
        </w:rPr>
        <w:t>Gakkai</w:t>
      </w:r>
      <w:proofErr w:type="spellEnd"/>
      <w:r>
        <w:rPr>
          <w:rFonts w:ascii="Arial" w:hAnsi="Arial" w:cs="Arial"/>
          <w:sz w:val="24"/>
          <w:szCs w:val="24"/>
        </w:rPr>
        <w:t xml:space="preserve"> am Fuße des Berges Fuji am </w:t>
      </w:r>
      <w:proofErr w:type="spellStart"/>
      <w:r>
        <w:rPr>
          <w:rFonts w:ascii="Arial" w:hAnsi="Arial" w:cs="Arial"/>
          <w:sz w:val="24"/>
          <w:szCs w:val="24"/>
        </w:rPr>
        <w:t>Taiseki</w:t>
      </w:r>
      <w:r w:rsidR="00411F5F">
        <w:rPr>
          <w:rFonts w:ascii="Arial" w:hAnsi="Arial" w:cs="Arial"/>
          <w:sz w:val="24"/>
          <w:szCs w:val="24"/>
        </w:rPr>
        <w:t>ji</w:t>
      </w:r>
      <w:proofErr w:type="spellEnd"/>
      <w:r>
        <w:rPr>
          <w:rFonts w:ascii="Arial" w:hAnsi="Arial" w:cs="Arial"/>
          <w:sz w:val="24"/>
          <w:szCs w:val="24"/>
        </w:rPr>
        <w:t xml:space="preserve">, dem Zentrum der Mönchsorganisation </w:t>
      </w:r>
      <w:proofErr w:type="spellStart"/>
      <w:r>
        <w:rPr>
          <w:rFonts w:ascii="Arial" w:hAnsi="Arial" w:cs="Arial"/>
          <w:sz w:val="24"/>
          <w:szCs w:val="24"/>
        </w:rPr>
        <w:t>Nichiren</w:t>
      </w:r>
      <w:proofErr w:type="spellEnd"/>
      <w:r>
        <w:rPr>
          <w:rFonts w:ascii="Arial" w:hAnsi="Arial" w:cs="Arial"/>
          <w:sz w:val="24"/>
          <w:szCs w:val="24"/>
        </w:rPr>
        <w:t xml:space="preserve"> </w:t>
      </w:r>
      <w:proofErr w:type="spellStart"/>
      <w:r>
        <w:rPr>
          <w:rFonts w:ascii="Arial" w:hAnsi="Arial" w:cs="Arial"/>
          <w:sz w:val="24"/>
          <w:szCs w:val="24"/>
        </w:rPr>
        <w:t>Shoshu</w:t>
      </w:r>
      <w:proofErr w:type="spellEnd"/>
      <w:r>
        <w:rPr>
          <w:rFonts w:ascii="Arial" w:hAnsi="Arial" w:cs="Arial"/>
          <w:sz w:val="24"/>
          <w:szCs w:val="24"/>
        </w:rPr>
        <w:t>, errichtet hatte.</w:t>
      </w:r>
    </w:p>
    <w:p w:rsidR="00D50BEF" w:rsidRDefault="00FE1075" w:rsidP="00FE1075">
      <w:pPr>
        <w:spacing w:after="0" w:line="240" w:lineRule="auto"/>
        <w:ind w:left="708"/>
        <w:jc w:val="both"/>
        <w:rPr>
          <w:rFonts w:ascii="Arial" w:hAnsi="Arial" w:cs="Arial"/>
          <w:sz w:val="24"/>
          <w:szCs w:val="24"/>
        </w:rPr>
      </w:pPr>
      <w:r>
        <w:rPr>
          <w:rFonts w:ascii="Arial" w:hAnsi="Arial" w:cs="Arial"/>
          <w:sz w:val="24"/>
          <w:szCs w:val="24"/>
        </w:rPr>
        <w:t xml:space="preserve">Aus Zorn </w:t>
      </w:r>
      <w:r w:rsidR="00D50BEF">
        <w:rPr>
          <w:rFonts w:ascii="Arial" w:hAnsi="Arial" w:cs="Arial"/>
          <w:sz w:val="24"/>
          <w:szCs w:val="24"/>
        </w:rPr>
        <w:t>ü</w:t>
      </w:r>
      <w:r>
        <w:rPr>
          <w:rFonts w:ascii="Arial" w:hAnsi="Arial" w:cs="Arial"/>
          <w:sz w:val="24"/>
          <w:szCs w:val="24"/>
        </w:rPr>
        <w:t xml:space="preserve">ber die Trennung von der </w:t>
      </w:r>
      <w:proofErr w:type="spellStart"/>
      <w:r>
        <w:rPr>
          <w:rFonts w:ascii="Arial" w:hAnsi="Arial" w:cs="Arial"/>
          <w:sz w:val="24"/>
          <w:szCs w:val="24"/>
        </w:rPr>
        <w:t>Soka</w:t>
      </w:r>
      <w:proofErr w:type="spellEnd"/>
      <w:r>
        <w:rPr>
          <w:rFonts w:ascii="Arial" w:hAnsi="Arial" w:cs="Arial"/>
          <w:sz w:val="24"/>
          <w:szCs w:val="24"/>
        </w:rPr>
        <w:t xml:space="preserve"> </w:t>
      </w:r>
      <w:proofErr w:type="spellStart"/>
      <w:r>
        <w:rPr>
          <w:rFonts w:ascii="Arial" w:hAnsi="Arial" w:cs="Arial"/>
          <w:sz w:val="24"/>
          <w:szCs w:val="24"/>
        </w:rPr>
        <w:t>Gakkai</w:t>
      </w:r>
      <w:proofErr w:type="spellEnd"/>
      <w:r>
        <w:rPr>
          <w:rFonts w:ascii="Arial" w:hAnsi="Arial" w:cs="Arial"/>
          <w:sz w:val="24"/>
          <w:szCs w:val="24"/>
        </w:rPr>
        <w:t xml:space="preserve"> im</w:t>
      </w:r>
      <w:r w:rsidR="00D50BEF">
        <w:rPr>
          <w:rFonts w:ascii="Arial" w:hAnsi="Arial" w:cs="Arial"/>
          <w:sz w:val="24"/>
          <w:szCs w:val="24"/>
        </w:rPr>
        <w:t xml:space="preserve"> </w:t>
      </w:r>
      <w:r>
        <w:rPr>
          <w:rFonts w:ascii="Arial" w:hAnsi="Arial" w:cs="Arial"/>
          <w:sz w:val="24"/>
          <w:szCs w:val="24"/>
        </w:rPr>
        <w:t>November 1991 ließ d</w:t>
      </w:r>
      <w:r w:rsidR="00D50BEF">
        <w:rPr>
          <w:rFonts w:ascii="Arial" w:hAnsi="Arial" w:cs="Arial"/>
          <w:sz w:val="24"/>
          <w:szCs w:val="24"/>
        </w:rPr>
        <w:t>er</w:t>
      </w:r>
      <w:r>
        <w:rPr>
          <w:rFonts w:ascii="Arial" w:hAnsi="Arial" w:cs="Arial"/>
          <w:sz w:val="24"/>
          <w:szCs w:val="24"/>
        </w:rPr>
        <w:t xml:space="preserve"> Mönchs</w:t>
      </w:r>
      <w:r w:rsidR="00D50BEF">
        <w:rPr>
          <w:rFonts w:ascii="Arial" w:hAnsi="Arial" w:cs="Arial"/>
          <w:sz w:val="24"/>
          <w:szCs w:val="24"/>
        </w:rPr>
        <w:t>orden das imposante Gebäude zerstören und an seiner Stelle 2002 ein eigenes neues Tempelgebäude bauen, was an der Weltöffentlichkeit wei</w:t>
      </w:r>
      <w:r w:rsidR="00D50BEF">
        <w:rPr>
          <w:rFonts w:ascii="Arial" w:hAnsi="Arial" w:cs="Arial"/>
          <w:sz w:val="24"/>
          <w:szCs w:val="24"/>
        </w:rPr>
        <w:t>t</w:t>
      </w:r>
      <w:r w:rsidR="00D50BEF">
        <w:rPr>
          <w:rFonts w:ascii="Arial" w:hAnsi="Arial" w:cs="Arial"/>
          <w:sz w:val="24"/>
          <w:szCs w:val="24"/>
        </w:rPr>
        <w:t>gehend unbemerkt vorüberging, zumal es  nicht in das Bild des friedlichen Buddhismus passte.“</w:t>
      </w:r>
    </w:p>
    <w:p w:rsidR="00D50BEF" w:rsidRDefault="00D50BEF" w:rsidP="00D50BEF">
      <w:pPr>
        <w:spacing w:after="0" w:line="360" w:lineRule="auto"/>
        <w:jc w:val="both"/>
        <w:rPr>
          <w:rFonts w:ascii="Arial" w:hAnsi="Arial" w:cs="Arial"/>
          <w:sz w:val="24"/>
          <w:szCs w:val="24"/>
        </w:rPr>
      </w:pPr>
    </w:p>
    <w:p w:rsidR="00D50BEF" w:rsidRDefault="00FE1075" w:rsidP="00D50BEF">
      <w:pPr>
        <w:spacing w:after="0" w:line="360" w:lineRule="auto"/>
        <w:jc w:val="both"/>
        <w:rPr>
          <w:rFonts w:ascii="Arial" w:hAnsi="Arial" w:cs="Arial"/>
          <w:b/>
          <w:i/>
          <w:sz w:val="24"/>
          <w:szCs w:val="24"/>
        </w:rPr>
      </w:pPr>
      <w:r>
        <w:rPr>
          <w:rFonts w:ascii="Arial" w:hAnsi="Arial" w:cs="Arial"/>
          <w:sz w:val="24"/>
          <w:szCs w:val="24"/>
        </w:rPr>
        <w:t xml:space="preserve"> </w:t>
      </w:r>
      <w:r w:rsidR="00D50BEF">
        <w:rPr>
          <w:rFonts w:ascii="Arial" w:hAnsi="Arial" w:cs="Arial"/>
          <w:b/>
          <w:i/>
          <w:sz w:val="24"/>
          <w:szCs w:val="24"/>
        </w:rPr>
        <w:t xml:space="preserve">Ein Blick in die </w:t>
      </w:r>
      <w:r w:rsidR="00A44133">
        <w:rPr>
          <w:rFonts w:ascii="Arial" w:hAnsi="Arial" w:cs="Arial"/>
          <w:b/>
          <w:i/>
          <w:sz w:val="24"/>
          <w:szCs w:val="24"/>
        </w:rPr>
        <w:t xml:space="preserve">buddhistischen </w:t>
      </w:r>
      <w:r w:rsidR="00D50BEF">
        <w:rPr>
          <w:rFonts w:ascii="Arial" w:hAnsi="Arial" w:cs="Arial"/>
          <w:b/>
          <w:i/>
          <w:sz w:val="24"/>
          <w:szCs w:val="24"/>
        </w:rPr>
        <w:t>kanonischen Schriften</w:t>
      </w:r>
    </w:p>
    <w:p w:rsidR="0014336F" w:rsidRDefault="002063B8" w:rsidP="0014336F">
      <w:pPr>
        <w:spacing w:after="0" w:line="360" w:lineRule="auto"/>
        <w:jc w:val="both"/>
        <w:rPr>
          <w:rFonts w:ascii="Arial" w:hAnsi="Arial" w:cs="Arial"/>
          <w:sz w:val="24"/>
          <w:szCs w:val="24"/>
        </w:rPr>
      </w:pPr>
      <w:r w:rsidRPr="0014336F">
        <w:rPr>
          <w:rFonts w:ascii="Arial" w:hAnsi="Arial" w:cs="Arial"/>
          <w:sz w:val="24"/>
          <w:szCs w:val="24"/>
        </w:rPr>
        <w:t>Realität und Ideale der Religionen stimmen leider vielfach nicht überein. Sosehr es angebracht ist, den Blick für die historischen und gesellschaftlichen Realitäten zu schärfen, so sinnvoll ist es umgekehrt, die Realitäten an</w:t>
      </w:r>
      <w:r w:rsidR="00B05ED5">
        <w:rPr>
          <w:rFonts w:ascii="Arial" w:hAnsi="Arial" w:cs="Arial"/>
          <w:sz w:val="24"/>
          <w:szCs w:val="24"/>
        </w:rPr>
        <w:t>hand</w:t>
      </w:r>
      <w:r w:rsidRPr="0014336F">
        <w:rPr>
          <w:rFonts w:ascii="Arial" w:hAnsi="Arial" w:cs="Arial"/>
          <w:sz w:val="24"/>
          <w:szCs w:val="24"/>
        </w:rPr>
        <w:t xml:space="preserve"> de</w:t>
      </w:r>
      <w:r w:rsidR="00B05ED5">
        <w:rPr>
          <w:rFonts w:ascii="Arial" w:hAnsi="Arial" w:cs="Arial"/>
          <w:sz w:val="24"/>
          <w:szCs w:val="24"/>
        </w:rPr>
        <w:t xml:space="preserve">r Idealvorstellungen zu </w:t>
      </w:r>
      <w:r w:rsidRPr="0014336F">
        <w:rPr>
          <w:rFonts w:ascii="Arial" w:hAnsi="Arial" w:cs="Arial"/>
          <w:sz w:val="24"/>
          <w:szCs w:val="24"/>
        </w:rPr>
        <w:t>prüfen. Hier ist dann zu fragen, w</w:t>
      </w:r>
      <w:r w:rsidR="00D50BEF" w:rsidRPr="0014336F">
        <w:rPr>
          <w:rFonts w:ascii="Arial" w:hAnsi="Arial" w:cs="Arial"/>
          <w:sz w:val="24"/>
          <w:szCs w:val="24"/>
        </w:rPr>
        <w:t xml:space="preserve">oher der Eindruck ausgeprägter Friedfertigkeit und Gewaltlosigkeit </w:t>
      </w:r>
      <w:r w:rsidR="005B35B9" w:rsidRPr="0014336F">
        <w:rPr>
          <w:rFonts w:ascii="Arial" w:hAnsi="Arial" w:cs="Arial"/>
          <w:sz w:val="24"/>
          <w:szCs w:val="24"/>
        </w:rPr>
        <w:t>in den indischen Religionen stammt. Lamber</w:t>
      </w:r>
      <w:r w:rsidR="00374D0B" w:rsidRPr="0014336F">
        <w:rPr>
          <w:rFonts w:ascii="Arial" w:hAnsi="Arial" w:cs="Arial"/>
          <w:sz w:val="24"/>
          <w:szCs w:val="24"/>
        </w:rPr>
        <w:t xml:space="preserve">t </w:t>
      </w:r>
      <w:proofErr w:type="spellStart"/>
      <w:r w:rsidR="00374D0B" w:rsidRPr="0014336F">
        <w:rPr>
          <w:rFonts w:ascii="Arial" w:hAnsi="Arial" w:cs="Arial"/>
          <w:sz w:val="24"/>
          <w:szCs w:val="24"/>
        </w:rPr>
        <w:t>Schmit</w:t>
      </w:r>
      <w:r w:rsidR="005B35B9" w:rsidRPr="0014336F">
        <w:rPr>
          <w:rFonts w:ascii="Arial" w:hAnsi="Arial" w:cs="Arial"/>
          <w:sz w:val="24"/>
          <w:szCs w:val="24"/>
        </w:rPr>
        <w:t>hausen</w:t>
      </w:r>
      <w:proofErr w:type="spellEnd"/>
      <w:r w:rsidR="005B35B9" w:rsidRPr="0014336F">
        <w:rPr>
          <w:rFonts w:ascii="Arial" w:hAnsi="Arial" w:cs="Arial"/>
          <w:sz w:val="24"/>
          <w:szCs w:val="24"/>
        </w:rPr>
        <w:t xml:space="preserve"> hat </w:t>
      </w:r>
      <w:r w:rsidR="00847C86" w:rsidRPr="0014336F">
        <w:rPr>
          <w:rFonts w:ascii="Arial" w:hAnsi="Arial" w:cs="Arial"/>
          <w:sz w:val="24"/>
          <w:szCs w:val="24"/>
        </w:rPr>
        <w:t xml:space="preserve">für den frühen Buddhismus </w:t>
      </w:r>
      <w:r w:rsidRPr="0014336F">
        <w:rPr>
          <w:rFonts w:ascii="Arial" w:hAnsi="Arial" w:cs="Arial"/>
          <w:sz w:val="24"/>
          <w:szCs w:val="24"/>
        </w:rPr>
        <w:t xml:space="preserve">auf eine </w:t>
      </w:r>
      <w:r w:rsidR="00847C86" w:rsidRPr="0014336F">
        <w:rPr>
          <w:rFonts w:ascii="Arial" w:hAnsi="Arial" w:cs="Arial"/>
          <w:sz w:val="24"/>
          <w:szCs w:val="24"/>
        </w:rPr>
        <w:t xml:space="preserve">Lehrrede </w:t>
      </w:r>
      <w:r w:rsidRPr="0014336F">
        <w:rPr>
          <w:rFonts w:ascii="Arial" w:hAnsi="Arial" w:cs="Arial"/>
          <w:sz w:val="24"/>
          <w:szCs w:val="24"/>
        </w:rPr>
        <w:t>des Buddha verwiesen, in der dieser die Menschen in vier Menschengruppen einteilt: (1)</w:t>
      </w:r>
      <w:r w:rsidR="0014336F">
        <w:rPr>
          <w:rFonts w:ascii="Arial" w:hAnsi="Arial" w:cs="Arial"/>
          <w:sz w:val="24"/>
          <w:szCs w:val="24"/>
        </w:rPr>
        <w:t xml:space="preserve"> Menschen, die </w:t>
      </w:r>
      <w:r w:rsidRPr="0014336F">
        <w:rPr>
          <w:rFonts w:ascii="Arial" w:hAnsi="Arial" w:cs="Arial"/>
          <w:sz w:val="24"/>
          <w:szCs w:val="24"/>
        </w:rPr>
        <w:t xml:space="preserve"> „Selbstquäler“</w:t>
      </w:r>
      <w:r w:rsidR="0014336F">
        <w:rPr>
          <w:rFonts w:ascii="Arial" w:hAnsi="Arial" w:cs="Arial"/>
          <w:sz w:val="24"/>
          <w:szCs w:val="24"/>
        </w:rPr>
        <w:t xml:space="preserve"> sind</w:t>
      </w:r>
      <w:r w:rsidRPr="0014336F">
        <w:rPr>
          <w:rFonts w:ascii="Arial" w:hAnsi="Arial" w:cs="Arial"/>
          <w:sz w:val="24"/>
          <w:szCs w:val="24"/>
        </w:rPr>
        <w:t xml:space="preserve">, (2) </w:t>
      </w:r>
      <w:r w:rsidR="0014336F">
        <w:rPr>
          <w:rFonts w:ascii="Arial" w:hAnsi="Arial" w:cs="Arial"/>
          <w:sz w:val="24"/>
          <w:szCs w:val="24"/>
        </w:rPr>
        <w:t xml:space="preserve">solche, die </w:t>
      </w:r>
      <w:r w:rsidR="0014336F" w:rsidRPr="0014336F">
        <w:rPr>
          <w:rFonts w:ascii="Arial" w:hAnsi="Arial" w:cs="Arial"/>
          <w:sz w:val="24"/>
          <w:szCs w:val="24"/>
        </w:rPr>
        <w:t>„</w:t>
      </w:r>
      <w:proofErr w:type="spellStart"/>
      <w:r w:rsidR="0014336F" w:rsidRPr="0014336F">
        <w:rPr>
          <w:rFonts w:ascii="Arial" w:hAnsi="Arial" w:cs="Arial"/>
          <w:sz w:val="24"/>
          <w:szCs w:val="24"/>
        </w:rPr>
        <w:t>Nächstenquäler</w:t>
      </w:r>
      <w:proofErr w:type="spellEnd"/>
      <w:r w:rsidR="0014336F" w:rsidRPr="0014336F">
        <w:rPr>
          <w:rFonts w:ascii="Arial" w:hAnsi="Arial" w:cs="Arial"/>
          <w:sz w:val="24"/>
          <w:szCs w:val="24"/>
        </w:rPr>
        <w:t>“</w:t>
      </w:r>
      <w:r w:rsidR="0014336F">
        <w:rPr>
          <w:rFonts w:ascii="Arial" w:hAnsi="Arial" w:cs="Arial"/>
          <w:sz w:val="24"/>
          <w:szCs w:val="24"/>
        </w:rPr>
        <w:t xml:space="preserve"> sind</w:t>
      </w:r>
      <w:r w:rsidR="0014336F" w:rsidRPr="0014336F">
        <w:rPr>
          <w:rFonts w:ascii="Arial" w:hAnsi="Arial" w:cs="Arial"/>
          <w:sz w:val="24"/>
          <w:szCs w:val="24"/>
        </w:rPr>
        <w:t xml:space="preserve">, (3) </w:t>
      </w:r>
      <w:r w:rsidR="0014336F">
        <w:rPr>
          <w:rFonts w:ascii="Arial" w:hAnsi="Arial" w:cs="Arial"/>
          <w:sz w:val="24"/>
          <w:szCs w:val="24"/>
        </w:rPr>
        <w:t>solche die beides in sich ver</w:t>
      </w:r>
      <w:r w:rsidR="00B05ED5">
        <w:rPr>
          <w:rFonts w:ascii="Arial" w:hAnsi="Arial" w:cs="Arial"/>
          <w:sz w:val="24"/>
          <w:szCs w:val="24"/>
        </w:rPr>
        <w:t>einen</w:t>
      </w:r>
      <w:r w:rsidR="0014336F">
        <w:rPr>
          <w:rFonts w:ascii="Arial" w:hAnsi="Arial" w:cs="Arial"/>
          <w:sz w:val="24"/>
          <w:szCs w:val="24"/>
        </w:rPr>
        <w:t xml:space="preserve"> und sowohl „</w:t>
      </w:r>
      <w:r w:rsidRPr="0014336F">
        <w:rPr>
          <w:rFonts w:ascii="Arial" w:hAnsi="Arial" w:cs="Arial"/>
          <w:sz w:val="24"/>
          <w:szCs w:val="24"/>
        </w:rPr>
        <w:t>Selbst</w:t>
      </w:r>
      <w:r w:rsidR="0014336F">
        <w:rPr>
          <w:rFonts w:ascii="Arial" w:hAnsi="Arial" w:cs="Arial"/>
          <w:sz w:val="24"/>
          <w:szCs w:val="24"/>
        </w:rPr>
        <w:t>quäler“</w:t>
      </w:r>
      <w:r w:rsidR="00B05ED5">
        <w:rPr>
          <w:rFonts w:ascii="Arial" w:hAnsi="Arial" w:cs="Arial"/>
          <w:sz w:val="24"/>
          <w:szCs w:val="24"/>
        </w:rPr>
        <w:t xml:space="preserve"> als „</w:t>
      </w:r>
      <w:proofErr w:type="spellStart"/>
      <w:r w:rsidRPr="0014336F">
        <w:rPr>
          <w:rFonts w:ascii="Arial" w:hAnsi="Arial" w:cs="Arial"/>
          <w:sz w:val="24"/>
          <w:szCs w:val="24"/>
        </w:rPr>
        <w:t>Nächstenquäler</w:t>
      </w:r>
      <w:proofErr w:type="spellEnd"/>
      <w:r w:rsidRPr="0014336F">
        <w:rPr>
          <w:rFonts w:ascii="Arial" w:hAnsi="Arial" w:cs="Arial"/>
          <w:sz w:val="24"/>
          <w:szCs w:val="24"/>
        </w:rPr>
        <w:t>“</w:t>
      </w:r>
      <w:r w:rsidR="0014336F">
        <w:rPr>
          <w:rFonts w:ascii="Arial" w:hAnsi="Arial" w:cs="Arial"/>
          <w:sz w:val="24"/>
          <w:szCs w:val="24"/>
        </w:rPr>
        <w:t xml:space="preserve"> sind</w:t>
      </w:r>
      <w:r w:rsidRPr="0014336F">
        <w:rPr>
          <w:rFonts w:ascii="Arial" w:hAnsi="Arial" w:cs="Arial"/>
          <w:sz w:val="24"/>
          <w:szCs w:val="24"/>
        </w:rPr>
        <w:t>, (</w:t>
      </w:r>
      <w:r w:rsidR="0014336F" w:rsidRPr="0014336F">
        <w:rPr>
          <w:rFonts w:ascii="Arial" w:hAnsi="Arial" w:cs="Arial"/>
          <w:sz w:val="24"/>
          <w:szCs w:val="24"/>
        </w:rPr>
        <w:t>4</w:t>
      </w:r>
      <w:r w:rsidRPr="0014336F">
        <w:rPr>
          <w:rFonts w:ascii="Arial" w:hAnsi="Arial" w:cs="Arial"/>
          <w:sz w:val="24"/>
          <w:szCs w:val="24"/>
        </w:rPr>
        <w:t xml:space="preserve">) </w:t>
      </w:r>
      <w:r w:rsidR="0014336F">
        <w:rPr>
          <w:rFonts w:ascii="Arial" w:hAnsi="Arial" w:cs="Arial"/>
          <w:sz w:val="24"/>
          <w:szCs w:val="24"/>
        </w:rPr>
        <w:t>solche, die weder das eine noch das andere sind</w:t>
      </w:r>
      <w:r w:rsidR="00847C86" w:rsidRPr="0014336F">
        <w:rPr>
          <w:rStyle w:val="Funotenzeichen"/>
          <w:rFonts w:ascii="Arial" w:hAnsi="Arial" w:cs="Arial"/>
          <w:sz w:val="24"/>
          <w:szCs w:val="24"/>
        </w:rPr>
        <w:footnoteReference w:id="10"/>
      </w:r>
      <w:r w:rsidR="00847C86" w:rsidRPr="0014336F">
        <w:rPr>
          <w:rFonts w:ascii="Arial" w:hAnsi="Arial" w:cs="Arial"/>
          <w:sz w:val="24"/>
          <w:szCs w:val="24"/>
        </w:rPr>
        <w:t xml:space="preserve">. </w:t>
      </w:r>
    </w:p>
    <w:p w:rsidR="0014336F" w:rsidRDefault="0014336F" w:rsidP="0014336F">
      <w:pPr>
        <w:spacing w:after="0" w:line="360" w:lineRule="auto"/>
        <w:jc w:val="both"/>
        <w:rPr>
          <w:rFonts w:ascii="Arial" w:hAnsi="Arial" w:cs="Arial"/>
          <w:sz w:val="24"/>
          <w:szCs w:val="24"/>
        </w:rPr>
      </w:pPr>
      <w:r>
        <w:rPr>
          <w:rFonts w:ascii="Arial" w:hAnsi="Arial" w:cs="Arial"/>
          <w:sz w:val="24"/>
          <w:szCs w:val="24"/>
        </w:rPr>
        <w:t>Zu ersten Gruppe gehören Menschen, die sich selbst quälen, indem sie sich alle möglichen Beschränkungen auferlegen und auf vielerlei Dinge verzichten. Zur zwe</w:t>
      </w:r>
      <w:r>
        <w:rPr>
          <w:rFonts w:ascii="Arial" w:hAnsi="Arial" w:cs="Arial"/>
          <w:sz w:val="24"/>
          <w:szCs w:val="24"/>
        </w:rPr>
        <w:t>i</w:t>
      </w:r>
      <w:r>
        <w:rPr>
          <w:rFonts w:ascii="Arial" w:hAnsi="Arial" w:cs="Arial"/>
          <w:sz w:val="24"/>
          <w:szCs w:val="24"/>
        </w:rPr>
        <w:t>ten Gruppe zählt der Buddha</w:t>
      </w:r>
      <w:r w:rsidR="00E04BB5">
        <w:rPr>
          <w:rFonts w:ascii="Arial" w:hAnsi="Arial" w:cs="Arial"/>
          <w:sz w:val="24"/>
          <w:szCs w:val="24"/>
        </w:rPr>
        <w:t xml:space="preserve"> Metzger, Jäger, Fi</w:t>
      </w:r>
      <w:r>
        <w:rPr>
          <w:rFonts w:ascii="Arial" w:hAnsi="Arial" w:cs="Arial"/>
          <w:sz w:val="24"/>
          <w:szCs w:val="24"/>
        </w:rPr>
        <w:t>scher,</w:t>
      </w:r>
      <w:r w:rsidR="00E04BB5">
        <w:rPr>
          <w:rFonts w:ascii="Arial" w:hAnsi="Arial" w:cs="Arial"/>
          <w:sz w:val="24"/>
          <w:szCs w:val="24"/>
        </w:rPr>
        <w:t xml:space="preserve"> </w:t>
      </w:r>
      <w:r>
        <w:rPr>
          <w:rFonts w:ascii="Arial" w:hAnsi="Arial" w:cs="Arial"/>
          <w:sz w:val="24"/>
          <w:szCs w:val="24"/>
        </w:rPr>
        <w:t>Räuber,</w:t>
      </w:r>
      <w:r w:rsidR="00E04BB5">
        <w:rPr>
          <w:rFonts w:ascii="Arial" w:hAnsi="Arial" w:cs="Arial"/>
          <w:sz w:val="24"/>
          <w:szCs w:val="24"/>
        </w:rPr>
        <w:t xml:space="preserve"> Henker, - Menschen, die ein grausames Handwerk ausüben. In der dritten Gruppe finden sich „ein gesal</w:t>
      </w:r>
      <w:r w:rsidR="00E04BB5">
        <w:rPr>
          <w:rFonts w:ascii="Arial" w:hAnsi="Arial" w:cs="Arial"/>
          <w:sz w:val="24"/>
          <w:szCs w:val="24"/>
        </w:rPr>
        <w:t>b</w:t>
      </w:r>
      <w:r w:rsidR="00E04BB5">
        <w:rPr>
          <w:rFonts w:ascii="Arial" w:hAnsi="Arial" w:cs="Arial"/>
          <w:sz w:val="24"/>
          <w:szCs w:val="24"/>
        </w:rPr>
        <w:t>ter adliger König oder ein mächtiger Brahmane“, die einerseits sich selbst kasteien, andererseits für ihre Opferhand</w:t>
      </w:r>
      <w:r w:rsidR="00B05ED5">
        <w:rPr>
          <w:rFonts w:ascii="Arial" w:hAnsi="Arial" w:cs="Arial"/>
          <w:sz w:val="24"/>
          <w:szCs w:val="24"/>
        </w:rPr>
        <w:t xml:space="preserve">lungen die Tötung von allerlei </w:t>
      </w:r>
      <w:r w:rsidR="00E04BB5">
        <w:rPr>
          <w:rFonts w:ascii="Arial" w:hAnsi="Arial" w:cs="Arial"/>
          <w:sz w:val="24"/>
          <w:szCs w:val="24"/>
        </w:rPr>
        <w:t xml:space="preserve">Tieren veranlassen. Die </w:t>
      </w:r>
      <w:r w:rsidR="00E04BB5">
        <w:rPr>
          <w:rFonts w:ascii="Arial" w:hAnsi="Arial" w:cs="Arial"/>
          <w:sz w:val="24"/>
          <w:szCs w:val="24"/>
        </w:rPr>
        <w:lastRenderedPageBreak/>
        <w:t>vierte Gruppe umfasst dann alle, die beides überwunden haben</w:t>
      </w:r>
      <w:r w:rsidR="00B05ED5">
        <w:rPr>
          <w:rFonts w:ascii="Arial" w:hAnsi="Arial" w:cs="Arial"/>
          <w:sz w:val="24"/>
          <w:szCs w:val="24"/>
        </w:rPr>
        <w:t xml:space="preserve"> und weder „Selbs</w:t>
      </w:r>
      <w:r w:rsidR="00B05ED5">
        <w:rPr>
          <w:rFonts w:ascii="Arial" w:hAnsi="Arial" w:cs="Arial"/>
          <w:sz w:val="24"/>
          <w:szCs w:val="24"/>
        </w:rPr>
        <w:t>t</w:t>
      </w:r>
      <w:r w:rsidR="00B05ED5">
        <w:rPr>
          <w:rFonts w:ascii="Arial" w:hAnsi="Arial" w:cs="Arial"/>
          <w:sz w:val="24"/>
          <w:szCs w:val="24"/>
        </w:rPr>
        <w:t>quäler“ noch „</w:t>
      </w:r>
      <w:proofErr w:type="spellStart"/>
      <w:r w:rsidR="00B05ED5">
        <w:rPr>
          <w:rFonts w:ascii="Arial" w:hAnsi="Arial" w:cs="Arial"/>
          <w:sz w:val="24"/>
          <w:szCs w:val="24"/>
        </w:rPr>
        <w:t>Nächstenquäler</w:t>
      </w:r>
      <w:proofErr w:type="spellEnd"/>
      <w:r w:rsidR="00B05ED5">
        <w:rPr>
          <w:rFonts w:ascii="Arial" w:hAnsi="Arial" w:cs="Arial"/>
          <w:sz w:val="24"/>
          <w:szCs w:val="24"/>
        </w:rPr>
        <w:t>“ sind</w:t>
      </w:r>
      <w:r w:rsidR="00E04BB5">
        <w:rPr>
          <w:rFonts w:ascii="Arial" w:hAnsi="Arial" w:cs="Arial"/>
          <w:sz w:val="24"/>
          <w:szCs w:val="24"/>
        </w:rPr>
        <w:t>:</w:t>
      </w:r>
    </w:p>
    <w:p w:rsidR="001822EC" w:rsidRDefault="00E04BB5" w:rsidP="001822EC">
      <w:pPr>
        <w:spacing w:after="0" w:line="240" w:lineRule="auto"/>
        <w:ind w:left="705"/>
        <w:jc w:val="both"/>
        <w:rPr>
          <w:rFonts w:ascii="Arial" w:hAnsi="Arial" w:cs="Arial"/>
          <w:sz w:val="24"/>
          <w:szCs w:val="24"/>
        </w:rPr>
      </w:pPr>
      <w:r>
        <w:rPr>
          <w:rFonts w:ascii="Arial" w:hAnsi="Arial" w:cs="Arial"/>
          <w:sz w:val="24"/>
          <w:szCs w:val="24"/>
        </w:rPr>
        <w:t xml:space="preserve">„Wie aber, ihr Mönche, ist einer weder ein Selbstquäler, nicht der Übung der Selbstqual ergeben, noch ist er ein </w:t>
      </w:r>
      <w:proofErr w:type="spellStart"/>
      <w:r>
        <w:rPr>
          <w:rFonts w:ascii="Arial" w:hAnsi="Arial" w:cs="Arial"/>
          <w:sz w:val="24"/>
          <w:szCs w:val="24"/>
        </w:rPr>
        <w:t>Nächstenquäler</w:t>
      </w:r>
      <w:proofErr w:type="spellEnd"/>
      <w:r>
        <w:rPr>
          <w:rFonts w:ascii="Arial" w:hAnsi="Arial" w:cs="Arial"/>
          <w:sz w:val="24"/>
          <w:szCs w:val="24"/>
        </w:rPr>
        <w:t xml:space="preserve">, nicht der Übung der </w:t>
      </w:r>
      <w:proofErr w:type="spellStart"/>
      <w:r>
        <w:rPr>
          <w:rFonts w:ascii="Arial" w:hAnsi="Arial" w:cs="Arial"/>
          <w:sz w:val="24"/>
          <w:szCs w:val="24"/>
        </w:rPr>
        <w:t>Nächstenqual</w:t>
      </w:r>
      <w:proofErr w:type="spellEnd"/>
      <w:r>
        <w:rPr>
          <w:rFonts w:ascii="Arial" w:hAnsi="Arial" w:cs="Arial"/>
          <w:sz w:val="24"/>
          <w:szCs w:val="24"/>
        </w:rPr>
        <w:t xml:space="preserve"> ergeben; ist ohne Selbstqual</w:t>
      </w:r>
      <w:r w:rsidR="001822EC">
        <w:rPr>
          <w:rFonts w:ascii="Arial" w:hAnsi="Arial" w:cs="Arial"/>
          <w:sz w:val="24"/>
          <w:szCs w:val="24"/>
        </w:rPr>
        <w:t xml:space="preserve">, ohne </w:t>
      </w:r>
      <w:proofErr w:type="spellStart"/>
      <w:r w:rsidR="001822EC">
        <w:rPr>
          <w:rFonts w:ascii="Arial" w:hAnsi="Arial" w:cs="Arial"/>
          <w:sz w:val="24"/>
          <w:szCs w:val="24"/>
        </w:rPr>
        <w:t>Nächstenqual</w:t>
      </w:r>
      <w:proofErr w:type="spellEnd"/>
      <w:r w:rsidR="001822EC">
        <w:rPr>
          <w:rFonts w:ascii="Arial" w:hAnsi="Arial" w:cs="Arial"/>
          <w:sz w:val="24"/>
          <w:szCs w:val="24"/>
        </w:rPr>
        <w:t>, schon bei Lebzeiten gestillt, erloschen, kühl geworden und verweilt in seligem Gefühle, heilig gewordenen Herzens?“</w:t>
      </w:r>
    </w:p>
    <w:p w:rsidR="001822EC" w:rsidRDefault="001822EC" w:rsidP="001822EC">
      <w:pPr>
        <w:spacing w:after="0" w:line="240" w:lineRule="auto"/>
        <w:jc w:val="both"/>
        <w:rPr>
          <w:rFonts w:ascii="Arial" w:hAnsi="Arial" w:cs="Arial"/>
          <w:sz w:val="24"/>
          <w:szCs w:val="24"/>
        </w:rPr>
      </w:pPr>
    </w:p>
    <w:p w:rsidR="001822EC" w:rsidRDefault="001822EC" w:rsidP="001822EC">
      <w:pPr>
        <w:spacing w:after="0" w:line="360" w:lineRule="auto"/>
        <w:jc w:val="both"/>
        <w:rPr>
          <w:rFonts w:ascii="Arial" w:hAnsi="Arial" w:cs="Arial"/>
          <w:sz w:val="24"/>
          <w:szCs w:val="24"/>
        </w:rPr>
      </w:pPr>
      <w:r>
        <w:rPr>
          <w:rFonts w:ascii="Arial" w:hAnsi="Arial" w:cs="Arial"/>
          <w:sz w:val="24"/>
          <w:szCs w:val="24"/>
        </w:rPr>
        <w:t>Auf die Frage nach dieser vierten Gruppe antwortet der Buddha mit seiner Lehre von</w:t>
      </w:r>
      <w:r w:rsidR="00B05ED5">
        <w:rPr>
          <w:rFonts w:ascii="Arial" w:hAnsi="Arial" w:cs="Arial"/>
          <w:sz w:val="24"/>
          <w:szCs w:val="24"/>
        </w:rPr>
        <w:t xml:space="preserve"> der</w:t>
      </w:r>
      <w:r>
        <w:rPr>
          <w:rFonts w:ascii="Arial" w:hAnsi="Arial" w:cs="Arial"/>
          <w:sz w:val="24"/>
          <w:szCs w:val="24"/>
        </w:rPr>
        <w:t xml:space="preserve"> Einladung zur Hauslosigkeit, in der der Mensch sich im „Vertrauen zum Vollend</w:t>
      </w:r>
      <w:r>
        <w:rPr>
          <w:rFonts w:ascii="Arial" w:hAnsi="Arial" w:cs="Arial"/>
          <w:sz w:val="24"/>
          <w:szCs w:val="24"/>
        </w:rPr>
        <w:t>e</w:t>
      </w:r>
      <w:r>
        <w:rPr>
          <w:rFonts w:ascii="Arial" w:hAnsi="Arial" w:cs="Arial"/>
          <w:sz w:val="24"/>
          <w:szCs w:val="24"/>
        </w:rPr>
        <w:t>ten“ von allem löst:</w:t>
      </w:r>
    </w:p>
    <w:p w:rsidR="001822EC" w:rsidRDefault="001822EC" w:rsidP="00F50F6E">
      <w:pPr>
        <w:spacing w:after="0" w:line="240" w:lineRule="auto"/>
        <w:ind w:left="708"/>
        <w:jc w:val="both"/>
        <w:rPr>
          <w:rFonts w:ascii="Arial" w:hAnsi="Arial" w:cs="Arial"/>
          <w:sz w:val="24"/>
          <w:szCs w:val="24"/>
        </w:rPr>
      </w:pPr>
      <w:r>
        <w:rPr>
          <w:rFonts w:ascii="Arial" w:hAnsi="Arial" w:cs="Arial"/>
          <w:sz w:val="24"/>
          <w:szCs w:val="24"/>
        </w:rPr>
        <w:t xml:space="preserve">„… frei wie der Himmel </w:t>
      </w:r>
      <w:proofErr w:type="spellStart"/>
      <w:r>
        <w:rPr>
          <w:rFonts w:ascii="Arial" w:hAnsi="Arial" w:cs="Arial"/>
          <w:sz w:val="24"/>
          <w:szCs w:val="24"/>
        </w:rPr>
        <w:t>is</w:t>
      </w:r>
      <w:proofErr w:type="spellEnd"/>
      <w:r>
        <w:rPr>
          <w:rFonts w:ascii="Arial" w:hAnsi="Arial" w:cs="Arial"/>
          <w:sz w:val="24"/>
          <w:szCs w:val="24"/>
        </w:rPr>
        <w:t xml:space="preserve"> die Hauslosigkeit. Nicht leicht ist es für einen, der in der Häuslichkeit lebt, den ganz vollkommenen, lauteren, heiligen Wandel in seiner ganzen  </w:t>
      </w:r>
      <w:r w:rsidR="007B137F">
        <w:rPr>
          <w:rFonts w:ascii="Arial" w:hAnsi="Arial" w:cs="Arial"/>
          <w:sz w:val="24"/>
          <w:szCs w:val="24"/>
        </w:rPr>
        <w:t>Reinheit zu erfüllen. Wie, wenn ich nun mit geschorenem Haar und Barte, mit dem fahlen Gewand</w:t>
      </w:r>
      <w:r w:rsidR="00B05ED5">
        <w:rPr>
          <w:rFonts w:ascii="Arial" w:hAnsi="Arial" w:cs="Arial"/>
          <w:sz w:val="24"/>
          <w:szCs w:val="24"/>
        </w:rPr>
        <w:t>e</w:t>
      </w:r>
      <w:r w:rsidR="007B137F">
        <w:rPr>
          <w:rFonts w:ascii="Arial" w:hAnsi="Arial" w:cs="Arial"/>
          <w:sz w:val="24"/>
          <w:szCs w:val="24"/>
        </w:rPr>
        <w:t xml:space="preserve"> bekleidet, vom Haus fortzöge in die Hauslosigkeit. Und nach kurzer Zeit verlässt er einen kleinen oder größeren Besi</w:t>
      </w:r>
      <w:r w:rsidR="00392F6A">
        <w:rPr>
          <w:rFonts w:ascii="Arial" w:hAnsi="Arial" w:cs="Arial"/>
          <w:sz w:val="24"/>
          <w:szCs w:val="24"/>
        </w:rPr>
        <w:t>tz</w:t>
      </w:r>
      <w:r w:rsidR="007B137F">
        <w:rPr>
          <w:rFonts w:ascii="Arial" w:hAnsi="Arial" w:cs="Arial"/>
          <w:sz w:val="24"/>
          <w:szCs w:val="24"/>
        </w:rPr>
        <w:t>, einen kleineren oder größeren Verwand</w:t>
      </w:r>
      <w:r w:rsidR="00392F6A">
        <w:rPr>
          <w:rFonts w:ascii="Arial" w:hAnsi="Arial" w:cs="Arial"/>
          <w:sz w:val="24"/>
          <w:szCs w:val="24"/>
        </w:rPr>
        <w:t>t</w:t>
      </w:r>
      <w:r w:rsidR="007B137F">
        <w:rPr>
          <w:rFonts w:ascii="Arial" w:hAnsi="Arial" w:cs="Arial"/>
          <w:sz w:val="24"/>
          <w:szCs w:val="24"/>
        </w:rPr>
        <w:t>enk</w:t>
      </w:r>
      <w:r w:rsidR="00392F6A">
        <w:rPr>
          <w:rFonts w:ascii="Arial" w:hAnsi="Arial" w:cs="Arial"/>
          <w:sz w:val="24"/>
          <w:szCs w:val="24"/>
        </w:rPr>
        <w:t>r</w:t>
      </w:r>
      <w:r w:rsidR="007B137F">
        <w:rPr>
          <w:rFonts w:ascii="Arial" w:hAnsi="Arial" w:cs="Arial"/>
          <w:sz w:val="24"/>
          <w:szCs w:val="24"/>
        </w:rPr>
        <w:t xml:space="preserve">eis, schert sich </w:t>
      </w:r>
      <w:r w:rsidR="00392F6A">
        <w:rPr>
          <w:rFonts w:ascii="Arial" w:hAnsi="Arial" w:cs="Arial"/>
          <w:sz w:val="24"/>
          <w:szCs w:val="24"/>
        </w:rPr>
        <w:t>H</w:t>
      </w:r>
      <w:r w:rsidR="007B137F">
        <w:rPr>
          <w:rFonts w:ascii="Arial" w:hAnsi="Arial" w:cs="Arial"/>
          <w:sz w:val="24"/>
          <w:szCs w:val="24"/>
        </w:rPr>
        <w:t xml:space="preserve">aar und Bart, legt das fahle Gewand an und </w:t>
      </w:r>
      <w:r w:rsidR="00392F6A">
        <w:rPr>
          <w:rFonts w:ascii="Arial" w:hAnsi="Arial" w:cs="Arial"/>
          <w:sz w:val="24"/>
          <w:szCs w:val="24"/>
        </w:rPr>
        <w:t>zieht von Hause fort in die Haus</w:t>
      </w:r>
      <w:r w:rsidR="007B137F">
        <w:rPr>
          <w:rFonts w:ascii="Arial" w:hAnsi="Arial" w:cs="Arial"/>
          <w:sz w:val="24"/>
          <w:szCs w:val="24"/>
        </w:rPr>
        <w:t>losigkeit.“</w:t>
      </w:r>
    </w:p>
    <w:p w:rsidR="00392F6A" w:rsidRDefault="00392F6A" w:rsidP="00392F6A">
      <w:pPr>
        <w:spacing w:after="0" w:line="240" w:lineRule="auto"/>
        <w:jc w:val="both"/>
        <w:rPr>
          <w:rFonts w:ascii="Arial" w:hAnsi="Arial" w:cs="Arial"/>
          <w:sz w:val="24"/>
          <w:szCs w:val="24"/>
        </w:rPr>
      </w:pPr>
    </w:p>
    <w:p w:rsidR="00DE35EB" w:rsidRDefault="00392F6A" w:rsidP="0014336F">
      <w:pPr>
        <w:spacing w:after="0" w:line="360" w:lineRule="auto"/>
        <w:jc w:val="both"/>
        <w:rPr>
          <w:rFonts w:ascii="Arial" w:hAnsi="Arial" w:cs="Arial"/>
          <w:sz w:val="24"/>
          <w:szCs w:val="24"/>
        </w:rPr>
      </w:pPr>
      <w:r>
        <w:rPr>
          <w:rFonts w:ascii="Arial" w:hAnsi="Arial" w:cs="Arial"/>
          <w:sz w:val="24"/>
          <w:szCs w:val="24"/>
        </w:rPr>
        <w:t xml:space="preserve">In der weiteren Beschreibung des hauslosen Lebens zeigt sich, dass </w:t>
      </w:r>
      <w:r w:rsidR="008807A1">
        <w:rPr>
          <w:rFonts w:ascii="Arial" w:hAnsi="Arial" w:cs="Arial"/>
          <w:sz w:val="24"/>
          <w:szCs w:val="24"/>
        </w:rPr>
        <w:t>dieses</w:t>
      </w:r>
      <w:r>
        <w:rPr>
          <w:rFonts w:ascii="Arial" w:hAnsi="Arial" w:cs="Arial"/>
          <w:sz w:val="24"/>
          <w:szCs w:val="24"/>
        </w:rPr>
        <w:t xml:space="preserve"> in der völligen Absage an das Töten von Lebewesen, an Gewalttätigkeit und Triebhaftigkeit besteht und von Achtsamkeit, meditativer Versenkung und Einsicht geprägt ist. Man kann also sagen, dass der Buddha seine Jüngerschaft </w:t>
      </w:r>
      <w:r w:rsidR="008807A1">
        <w:rPr>
          <w:rFonts w:ascii="Arial" w:hAnsi="Arial" w:cs="Arial"/>
          <w:sz w:val="24"/>
          <w:szCs w:val="24"/>
        </w:rPr>
        <w:t xml:space="preserve">eindeutig </w:t>
      </w:r>
      <w:r>
        <w:rPr>
          <w:rFonts w:ascii="Arial" w:hAnsi="Arial" w:cs="Arial"/>
          <w:sz w:val="24"/>
          <w:szCs w:val="24"/>
        </w:rPr>
        <w:t>auf Gewaltlosigkeit verpflichtet</w:t>
      </w:r>
      <w:r w:rsidR="00CA4866">
        <w:rPr>
          <w:rFonts w:ascii="Arial" w:hAnsi="Arial" w:cs="Arial"/>
          <w:sz w:val="24"/>
          <w:szCs w:val="24"/>
        </w:rPr>
        <w:t xml:space="preserve"> (vgl. 6).</w:t>
      </w:r>
      <w:r>
        <w:rPr>
          <w:rFonts w:ascii="Arial" w:hAnsi="Arial" w:cs="Arial"/>
          <w:sz w:val="24"/>
          <w:szCs w:val="24"/>
        </w:rPr>
        <w:t xml:space="preserve"> </w:t>
      </w:r>
    </w:p>
    <w:p w:rsidR="00C51363" w:rsidRDefault="00C51363" w:rsidP="0014336F">
      <w:pPr>
        <w:spacing w:after="0" w:line="360" w:lineRule="auto"/>
        <w:jc w:val="both"/>
        <w:rPr>
          <w:rFonts w:ascii="Arial" w:hAnsi="Arial" w:cs="Arial"/>
          <w:sz w:val="24"/>
          <w:szCs w:val="24"/>
        </w:rPr>
      </w:pPr>
    </w:p>
    <w:p w:rsidR="00C51363" w:rsidRPr="00C51363" w:rsidRDefault="00C51363" w:rsidP="0014336F">
      <w:pPr>
        <w:spacing w:after="0" w:line="360" w:lineRule="auto"/>
        <w:jc w:val="both"/>
        <w:rPr>
          <w:rFonts w:ascii="Arial" w:hAnsi="Arial" w:cs="Arial"/>
          <w:b/>
          <w:i/>
          <w:sz w:val="24"/>
          <w:szCs w:val="24"/>
        </w:rPr>
      </w:pPr>
      <w:r>
        <w:rPr>
          <w:rFonts w:ascii="Arial" w:hAnsi="Arial" w:cs="Arial"/>
          <w:b/>
          <w:i/>
          <w:sz w:val="24"/>
          <w:szCs w:val="24"/>
        </w:rPr>
        <w:t>Offene Fragen</w:t>
      </w:r>
    </w:p>
    <w:p w:rsidR="00CA4866" w:rsidRDefault="00CA4866" w:rsidP="0014336F">
      <w:pPr>
        <w:spacing w:after="0" w:line="360" w:lineRule="auto"/>
        <w:jc w:val="both"/>
        <w:rPr>
          <w:rFonts w:ascii="Arial" w:hAnsi="Arial" w:cs="Arial"/>
          <w:sz w:val="24"/>
          <w:szCs w:val="24"/>
        </w:rPr>
      </w:pPr>
      <w:proofErr w:type="spellStart"/>
      <w:r>
        <w:rPr>
          <w:rFonts w:ascii="Arial" w:hAnsi="Arial" w:cs="Arial"/>
          <w:sz w:val="24"/>
          <w:szCs w:val="24"/>
        </w:rPr>
        <w:t>Schmithausen</w:t>
      </w:r>
      <w:proofErr w:type="spellEnd"/>
      <w:r>
        <w:rPr>
          <w:rFonts w:ascii="Arial" w:hAnsi="Arial" w:cs="Arial"/>
          <w:sz w:val="24"/>
          <w:szCs w:val="24"/>
        </w:rPr>
        <w:t xml:space="preserve"> macht aber dann auf eine Reihe von Punkten aufmerksam, über die der Buddha schweigt (vgl. 6ff.):</w:t>
      </w:r>
    </w:p>
    <w:p w:rsidR="00CA4866" w:rsidRDefault="00CA4866" w:rsidP="0014336F">
      <w:pPr>
        <w:spacing w:after="0" w:line="360" w:lineRule="auto"/>
        <w:jc w:val="both"/>
        <w:rPr>
          <w:rFonts w:ascii="Arial" w:hAnsi="Arial" w:cs="Arial"/>
          <w:sz w:val="24"/>
          <w:szCs w:val="24"/>
        </w:rPr>
      </w:pPr>
      <w:r>
        <w:rPr>
          <w:rFonts w:ascii="Arial" w:hAnsi="Arial" w:cs="Arial"/>
          <w:sz w:val="24"/>
          <w:szCs w:val="24"/>
        </w:rPr>
        <w:t xml:space="preserve">● Da der Buddha den drei in der Welt zu findenden Gruppen von „Gewalttätigen‘“ </w:t>
      </w:r>
      <w:r w:rsidR="00A44133">
        <w:rPr>
          <w:rFonts w:ascii="Arial" w:hAnsi="Arial" w:cs="Arial"/>
          <w:sz w:val="24"/>
          <w:szCs w:val="24"/>
        </w:rPr>
        <w:t xml:space="preserve">nur </w:t>
      </w:r>
      <w:r>
        <w:rPr>
          <w:rFonts w:ascii="Arial" w:hAnsi="Arial" w:cs="Arial"/>
          <w:sz w:val="24"/>
          <w:szCs w:val="24"/>
        </w:rPr>
        <w:t xml:space="preserve">die Ordinierten gegenüberstellt, die den radikalen Weg der Hauslosigkeit wählen, bleiben die buddhistischen Laien, die im Haus bleiben, unerwähnt (vgl. 6f.). Doch auch wenn </w:t>
      </w:r>
      <w:r w:rsidR="00167064">
        <w:rPr>
          <w:rFonts w:ascii="Arial" w:hAnsi="Arial" w:cs="Arial"/>
          <w:sz w:val="24"/>
          <w:szCs w:val="24"/>
        </w:rPr>
        <w:t>jene, die Besitz und Familie haben, nicht in der Lage sind, die mönch</w:t>
      </w:r>
      <w:r w:rsidR="00167064">
        <w:rPr>
          <w:rFonts w:ascii="Arial" w:hAnsi="Arial" w:cs="Arial"/>
          <w:sz w:val="24"/>
          <w:szCs w:val="24"/>
        </w:rPr>
        <w:t>i</w:t>
      </w:r>
      <w:r w:rsidR="00167064">
        <w:rPr>
          <w:rFonts w:ascii="Arial" w:hAnsi="Arial" w:cs="Arial"/>
          <w:sz w:val="24"/>
          <w:szCs w:val="24"/>
        </w:rPr>
        <w:t xml:space="preserve">sche Praxis </w:t>
      </w:r>
      <w:r w:rsidR="00A44133">
        <w:rPr>
          <w:rFonts w:ascii="Arial" w:hAnsi="Arial" w:cs="Arial"/>
          <w:sz w:val="24"/>
          <w:szCs w:val="24"/>
        </w:rPr>
        <w:t xml:space="preserve">voll </w:t>
      </w:r>
      <w:r w:rsidR="00167064">
        <w:rPr>
          <w:rFonts w:ascii="Arial" w:hAnsi="Arial" w:cs="Arial"/>
          <w:sz w:val="24"/>
          <w:szCs w:val="24"/>
        </w:rPr>
        <w:t xml:space="preserve">zu verwirklichen, </w:t>
      </w:r>
      <w:r w:rsidR="00F376E0">
        <w:rPr>
          <w:rFonts w:ascii="Arial" w:hAnsi="Arial" w:cs="Arial"/>
          <w:sz w:val="24"/>
          <w:szCs w:val="24"/>
        </w:rPr>
        <w:t>können sie sich auf den Weg machen</w:t>
      </w:r>
      <w:r w:rsidR="008807A1">
        <w:rPr>
          <w:rFonts w:ascii="Arial" w:hAnsi="Arial" w:cs="Arial"/>
          <w:sz w:val="24"/>
          <w:szCs w:val="24"/>
        </w:rPr>
        <w:t>.</w:t>
      </w:r>
      <w:r w:rsidR="00F376E0">
        <w:rPr>
          <w:rFonts w:ascii="Arial" w:hAnsi="Arial" w:cs="Arial"/>
          <w:sz w:val="24"/>
          <w:szCs w:val="24"/>
        </w:rPr>
        <w:t xml:space="preserve"> </w:t>
      </w:r>
      <w:r w:rsidR="008807A1">
        <w:rPr>
          <w:rFonts w:ascii="Arial" w:hAnsi="Arial" w:cs="Arial"/>
          <w:sz w:val="24"/>
          <w:szCs w:val="24"/>
        </w:rPr>
        <w:t xml:space="preserve"> I</w:t>
      </w:r>
      <w:r w:rsidR="00167064">
        <w:rPr>
          <w:rFonts w:ascii="Arial" w:hAnsi="Arial" w:cs="Arial"/>
          <w:sz w:val="24"/>
          <w:szCs w:val="24"/>
        </w:rPr>
        <w:t>n den fünf Laiengeboten</w:t>
      </w:r>
      <w:r w:rsidR="00F376E0">
        <w:rPr>
          <w:rFonts w:ascii="Arial" w:hAnsi="Arial" w:cs="Arial"/>
          <w:sz w:val="24"/>
          <w:szCs w:val="24"/>
        </w:rPr>
        <w:t xml:space="preserve">, die es auch gibt, werden sie </w:t>
      </w:r>
      <w:r w:rsidR="00167064">
        <w:rPr>
          <w:rFonts w:ascii="Arial" w:hAnsi="Arial" w:cs="Arial"/>
          <w:sz w:val="24"/>
          <w:szCs w:val="24"/>
        </w:rPr>
        <w:t xml:space="preserve"> an erster Stelle verpflichtet, nicht zu t</w:t>
      </w:r>
      <w:r w:rsidR="00167064">
        <w:rPr>
          <w:rFonts w:ascii="Arial" w:hAnsi="Arial" w:cs="Arial"/>
          <w:sz w:val="24"/>
          <w:szCs w:val="24"/>
        </w:rPr>
        <w:t>ö</w:t>
      </w:r>
      <w:r w:rsidR="00167064">
        <w:rPr>
          <w:rFonts w:ascii="Arial" w:hAnsi="Arial" w:cs="Arial"/>
          <w:sz w:val="24"/>
          <w:szCs w:val="24"/>
        </w:rPr>
        <w:t>ten</w:t>
      </w:r>
      <w:r w:rsidR="00F72FC4">
        <w:rPr>
          <w:rFonts w:ascii="Arial" w:hAnsi="Arial" w:cs="Arial"/>
          <w:sz w:val="24"/>
          <w:szCs w:val="24"/>
        </w:rPr>
        <w:t>, und dieses Verbot wird ohne Einschränkung vorgetragen</w:t>
      </w:r>
      <w:r w:rsidR="00167064">
        <w:rPr>
          <w:rStyle w:val="Funotenzeichen"/>
          <w:rFonts w:ascii="Arial" w:hAnsi="Arial" w:cs="Arial"/>
          <w:sz w:val="24"/>
          <w:szCs w:val="24"/>
        </w:rPr>
        <w:footnoteReference w:id="11"/>
      </w:r>
      <w:r w:rsidR="00F376E0">
        <w:rPr>
          <w:rFonts w:ascii="Arial" w:hAnsi="Arial" w:cs="Arial"/>
          <w:sz w:val="24"/>
          <w:szCs w:val="24"/>
        </w:rPr>
        <w:t>.</w:t>
      </w:r>
    </w:p>
    <w:p w:rsidR="00675DFA" w:rsidRDefault="00F50F6E" w:rsidP="00F50F6E">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 xml:space="preserve">● </w:t>
      </w:r>
      <w:r w:rsidR="00A44133">
        <w:rPr>
          <w:rFonts w:ascii="Arial" w:hAnsi="Arial" w:cs="Arial"/>
          <w:sz w:val="24"/>
          <w:szCs w:val="24"/>
        </w:rPr>
        <w:t xml:space="preserve">Keine Erwähnung finden </w:t>
      </w:r>
      <w:r w:rsidR="00F376E0" w:rsidRPr="00F50F6E">
        <w:rPr>
          <w:rFonts w:ascii="Arial" w:hAnsi="Arial" w:cs="Arial"/>
          <w:sz w:val="24"/>
          <w:szCs w:val="24"/>
        </w:rPr>
        <w:t>die professionell Gewalt Anwendenden</w:t>
      </w:r>
      <w:r w:rsidR="008807A1">
        <w:rPr>
          <w:rFonts w:ascii="Arial" w:hAnsi="Arial" w:cs="Arial"/>
          <w:sz w:val="24"/>
          <w:szCs w:val="24"/>
        </w:rPr>
        <w:t xml:space="preserve"> wie</w:t>
      </w:r>
      <w:r w:rsidR="00F376E0" w:rsidRPr="00F50F6E">
        <w:rPr>
          <w:rFonts w:ascii="Arial" w:hAnsi="Arial" w:cs="Arial"/>
          <w:sz w:val="24"/>
          <w:szCs w:val="24"/>
        </w:rPr>
        <w:t xml:space="preserve"> die Soldaten</w:t>
      </w:r>
      <w:r w:rsidR="008807A1">
        <w:rPr>
          <w:rFonts w:ascii="Arial" w:hAnsi="Arial" w:cs="Arial"/>
          <w:sz w:val="24"/>
          <w:szCs w:val="24"/>
        </w:rPr>
        <w:t xml:space="preserve"> und</w:t>
      </w:r>
      <w:r w:rsidRPr="00F50F6E">
        <w:rPr>
          <w:rFonts w:ascii="Arial" w:hAnsi="Arial" w:cs="Arial"/>
          <w:sz w:val="24"/>
          <w:szCs w:val="24"/>
        </w:rPr>
        <w:t xml:space="preserve"> die für die Kriegsführung verantwortlichen Herrscher. Tatsächlich eröffnet sich </w:t>
      </w:r>
      <w:r w:rsidRPr="00F50F6E">
        <w:rPr>
          <w:rFonts w:ascii="Arial" w:hAnsi="Arial" w:cs="Arial"/>
          <w:sz w:val="24"/>
          <w:szCs w:val="24"/>
        </w:rPr>
        <w:lastRenderedPageBreak/>
        <w:t xml:space="preserve">hier ein Feld, das im </w:t>
      </w:r>
      <w:r>
        <w:rPr>
          <w:rFonts w:ascii="Arial" w:hAnsi="Arial" w:cs="Arial"/>
          <w:sz w:val="24"/>
          <w:szCs w:val="24"/>
        </w:rPr>
        <w:t>Laufe der Geschichte ausführlicher</w:t>
      </w:r>
      <w:r w:rsidR="00A44133">
        <w:rPr>
          <w:rFonts w:ascii="Arial" w:hAnsi="Arial" w:cs="Arial"/>
          <w:sz w:val="24"/>
          <w:szCs w:val="24"/>
        </w:rPr>
        <w:t xml:space="preserve"> behandelt wird</w:t>
      </w:r>
      <w:r>
        <w:rPr>
          <w:rStyle w:val="Funotenzeichen"/>
          <w:rFonts w:ascii="Arial" w:hAnsi="Arial" w:cs="Arial"/>
          <w:sz w:val="24"/>
          <w:szCs w:val="24"/>
        </w:rPr>
        <w:footnoteReference w:id="12"/>
      </w:r>
      <w:r>
        <w:rPr>
          <w:rFonts w:ascii="Arial" w:hAnsi="Arial" w:cs="Arial"/>
          <w:sz w:val="24"/>
          <w:szCs w:val="24"/>
        </w:rPr>
        <w:t>.</w:t>
      </w:r>
      <w:r w:rsidRPr="00F50F6E">
        <w:rPr>
          <w:rFonts w:ascii="Arial" w:hAnsi="Arial" w:cs="Arial"/>
          <w:sz w:val="24"/>
          <w:szCs w:val="24"/>
        </w:rPr>
        <w:t> </w:t>
      </w:r>
      <w:proofErr w:type="spellStart"/>
      <w:r w:rsidR="00F72FC4">
        <w:rPr>
          <w:rFonts w:ascii="Arial" w:hAnsi="Arial" w:cs="Arial"/>
          <w:sz w:val="24"/>
          <w:szCs w:val="24"/>
        </w:rPr>
        <w:t>Schmithausen</w:t>
      </w:r>
      <w:proofErr w:type="spellEnd"/>
      <w:r w:rsidR="00F72FC4">
        <w:rPr>
          <w:rFonts w:ascii="Arial" w:hAnsi="Arial" w:cs="Arial"/>
          <w:sz w:val="24"/>
          <w:szCs w:val="24"/>
        </w:rPr>
        <w:t xml:space="preserve"> begründet die Nichterwähnung der Herrschenden und Krie</w:t>
      </w:r>
      <w:r w:rsidR="00F72FC4">
        <w:rPr>
          <w:rFonts w:ascii="Arial" w:hAnsi="Arial" w:cs="Arial"/>
          <w:sz w:val="24"/>
          <w:szCs w:val="24"/>
        </w:rPr>
        <w:t>g</w:t>
      </w:r>
      <w:r w:rsidR="00F72FC4">
        <w:rPr>
          <w:rFonts w:ascii="Arial" w:hAnsi="Arial" w:cs="Arial"/>
          <w:sz w:val="24"/>
          <w:szCs w:val="24"/>
        </w:rPr>
        <w:t>führenden mit einer pragmatischen Haltung</w:t>
      </w:r>
      <w:r w:rsidR="008807A1">
        <w:rPr>
          <w:rFonts w:ascii="Arial" w:hAnsi="Arial" w:cs="Arial"/>
          <w:sz w:val="24"/>
          <w:szCs w:val="24"/>
        </w:rPr>
        <w:t xml:space="preserve"> des </w:t>
      </w:r>
      <w:proofErr w:type="gramStart"/>
      <w:r w:rsidR="008807A1">
        <w:rPr>
          <w:rFonts w:ascii="Arial" w:hAnsi="Arial" w:cs="Arial"/>
          <w:sz w:val="24"/>
          <w:szCs w:val="24"/>
        </w:rPr>
        <w:t>Buddha</w:t>
      </w:r>
      <w:proofErr w:type="gramEnd"/>
      <w:r w:rsidR="00F72FC4">
        <w:rPr>
          <w:rFonts w:ascii="Arial" w:hAnsi="Arial" w:cs="Arial"/>
          <w:sz w:val="24"/>
          <w:szCs w:val="24"/>
        </w:rPr>
        <w:t xml:space="preserve">, die es vermeidet, schon früh mit den herrschenden Kreisen in einen Konflikt zu geraten (vgl. 7f.). Selbst wo </w:t>
      </w:r>
      <w:r w:rsidR="008807A1">
        <w:rPr>
          <w:rFonts w:ascii="Arial" w:hAnsi="Arial" w:cs="Arial"/>
          <w:sz w:val="24"/>
          <w:szCs w:val="24"/>
        </w:rPr>
        <w:t xml:space="preserve">später </w:t>
      </w:r>
      <w:r w:rsidR="00F72FC4">
        <w:rPr>
          <w:rFonts w:ascii="Arial" w:hAnsi="Arial" w:cs="Arial"/>
          <w:sz w:val="24"/>
          <w:szCs w:val="24"/>
        </w:rPr>
        <w:t xml:space="preserve">in anderen kanonischen Texten  von den Herrschern die Rede ist, bleibt es </w:t>
      </w:r>
      <w:r w:rsidR="008807A1">
        <w:rPr>
          <w:rFonts w:ascii="Arial" w:hAnsi="Arial" w:cs="Arial"/>
          <w:sz w:val="24"/>
          <w:szCs w:val="24"/>
        </w:rPr>
        <w:t xml:space="preserve">zumeist </w:t>
      </w:r>
      <w:r w:rsidR="00F72FC4">
        <w:rPr>
          <w:rFonts w:ascii="Arial" w:hAnsi="Arial" w:cs="Arial"/>
          <w:sz w:val="24"/>
          <w:szCs w:val="24"/>
        </w:rPr>
        <w:t>bei einer allgemeinen Erwähnung der ethischen Prinzipien, ohne dass sie</w:t>
      </w:r>
      <w:r w:rsidR="008807A1">
        <w:rPr>
          <w:rFonts w:ascii="Arial" w:hAnsi="Arial" w:cs="Arial"/>
          <w:sz w:val="24"/>
          <w:szCs w:val="24"/>
        </w:rPr>
        <w:t xml:space="preserve"> auf die Politik und </w:t>
      </w:r>
      <w:r w:rsidR="00F72FC4">
        <w:rPr>
          <w:rFonts w:ascii="Arial" w:hAnsi="Arial" w:cs="Arial"/>
          <w:sz w:val="24"/>
          <w:szCs w:val="24"/>
        </w:rPr>
        <w:t>die konkrete Gewalta</w:t>
      </w:r>
      <w:r w:rsidR="00A44133">
        <w:rPr>
          <w:rFonts w:ascii="Arial" w:hAnsi="Arial" w:cs="Arial"/>
          <w:sz w:val="24"/>
          <w:szCs w:val="24"/>
        </w:rPr>
        <w:t>usübung</w:t>
      </w:r>
      <w:r w:rsidR="00F72FC4">
        <w:rPr>
          <w:rFonts w:ascii="Arial" w:hAnsi="Arial" w:cs="Arial"/>
          <w:sz w:val="24"/>
          <w:szCs w:val="24"/>
        </w:rPr>
        <w:t xml:space="preserve"> der Herrscher bis in die strafrechtl</w:t>
      </w:r>
      <w:r w:rsidR="00F72FC4">
        <w:rPr>
          <w:rFonts w:ascii="Arial" w:hAnsi="Arial" w:cs="Arial"/>
          <w:sz w:val="24"/>
          <w:szCs w:val="24"/>
        </w:rPr>
        <w:t>i</w:t>
      </w:r>
      <w:r w:rsidR="00F72FC4">
        <w:rPr>
          <w:rFonts w:ascii="Arial" w:hAnsi="Arial" w:cs="Arial"/>
          <w:sz w:val="24"/>
          <w:szCs w:val="24"/>
        </w:rPr>
        <w:t>chen Urteile</w:t>
      </w:r>
      <w:r w:rsidR="008807A1">
        <w:rPr>
          <w:rFonts w:ascii="Arial" w:hAnsi="Arial" w:cs="Arial"/>
          <w:sz w:val="24"/>
          <w:szCs w:val="24"/>
        </w:rPr>
        <w:t xml:space="preserve"> hinein, die in Hinrichtungen oder Verstümmelungen der Angeklagten enden konnten, </w:t>
      </w:r>
      <w:r w:rsidR="00F72FC4">
        <w:rPr>
          <w:rFonts w:ascii="Arial" w:hAnsi="Arial" w:cs="Arial"/>
          <w:sz w:val="24"/>
          <w:szCs w:val="24"/>
        </w:rPr>
        <w:t xml:space="preserve">Anwendung </w:t>
      </w:r>
      <w:r w:rsidR="00A44133">
        <w:rPr>
          <w:rFonts w:ascii="Arial" w:hAnsi="Arial" w:cs="Arial"/>
          <w:sz w:val="24"/>
          <w:szCs w:val="24"/>
        </w:rPr>
        <w:t>fa</w:t>
      </w:r>
      <w:r w:rsidR="00675DFA">
        <w:rPr>
          <w:rFonts w:ascii="Arial" w:hAnsi="Arial" w:cs="Arial"/>
          <w:sz w:val="24"/>
          <w:szCs w:val="24"/>
        </w:rPr>
        <w:t xml:space="preserve">nden. </w:t>
      </w:r>
    </w:p>
    <w:p w:rsidR="00675DFA" w:rsidRDefault="008807A1" w:rsidP="00F50F6E">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 xml:space="preserve">Dennoch gibt es </w:t>
      </w:r>
      <w:r w:rsidR="00675DFA">
        <w:rPr>
          <w:rFonts w:ascii="Arial" w:hAnsi="Arial" w:cs="Arial"/>
          <w:sz w:val="24"/>
          <w:szCs w:val="24"/>
        </w:rPr>
        <w:t xml:space="preserve">eine kleine Gruppe von Lehrreden, </w:t>
      </w:r>
      <w:r>
        <w:rPr>
          <w:rFonts w:ascii="Arial" w:hAnsi="Arial" w:cs="Arial"/>
          <w:sz w:val="24"/>
          <w:szCs w:val="24"/>
        </w:rPr>
        <w:t xml:space="preserve">in denen </w:t>
      </w:r>
      <w:r w:rsidR="00675DFA">
        <w:rPr>
          <w:rFonts w:ascii="Arial" w:hAnsi="Arial" w:cs="Arial"/>
          <w:sz w:val="24"/>
          <w:szCs w:val="24"/>
        </w:rPr>
        <w:t>explizit von der Unve</w:t>
      </w:r>
      <w:r w:rsidR="00675DFA">
        <w:rPr>
          <w:rFonts w:ascii="Arial" w:hAnsi="Arial" w:cs="Arial"/>
          <w:sz w:val="24"/>
          <w:szCs w:val="24"/>
        </w:rPr>
        <w:t>r</w:t>
      </w:r>
      <w:r w:rsidR="00675DFA">
        <w:rPr>
          <w:rFonts w:ascii="Arial" w:hAnsi="Arial" w:cs="Arial"/>
          <w:sz w:val="24"/>
          <w:szCs w:val="24"/>
        </w:rPr>
        <w:t xml:space="preserve">einbarkeit von Gewaltlosigkeit und Politik die Rede ist. </w:t>
      </w:r>
      <w:r>
        <w:rPr>
          <w:rFonts w:ascii="Arial" w:hAnsi="Arial" w:cs="Arial"/>
          <w:sz w:val="24"/>
          <w:szCs w:val="24"/>
        </w:rPr>
        <w:t>So</w:t>
      </w:r>
      <w:r w:rsidR="00675DFA">
        <w:rPr>
          <w:rFonts w:ascii="Arial" w:hAnsi="Arial" w:cs="Arial"/>
          <w:sz w:val="24"/>
          <w:szCs w:val="24"/>
        </w:rPr>
        <w:t xml:space="preserve"> fragt ein Offizier den Bu</w:t>
      </w:r>
      <w:r w:rsidR="00675DFA">
        <w:rPr>
          <w:rFonts w:ascii="Arial" w:hAnsi="Arial" w:cs="Arial"/>
          <w:sz w:val="24"/>
          <w:szCs w:val="24"/>
        </w:rPr>
        <w:t>d</w:t>
      </w:r>
      <w:r w:rsidR="00675DFA">
        <w:rPr>
          <w:rFonts w:ascii="Arial" w:hAnsi="Arial" w:cs="Arial"/>
          <w:sz w:val="24"/>
          <w:szCs w:val="24"/>
        </w:rPr>
        <w:t>dha, ob es zutreffe, dass ein Soldat, der den Heldentod sterbe, in den Himmel ko</w:t>
      </w:r>
      <w:r w:rsidR="00675DFA">
        <w:rPr>
          <w:rFonts w:ascii="Arial" w:hAnsi="Arial" w:cs="Arial"/>
          <w:sz w:val="24"/>
          <w:szCs w:val="24"/>
        </w:rPr>
        <w:t>m</w:t>
      </w:r>
      <w:r w:rsidR="00675DFA">
        <w:rPr>
          <w:rFonts w:ascii="Arial" w:hAnsi="Arial" w:cs="Arial"/>
          <w:sz w:val="24"/>
          <w:szCs w:val="24"/>
        </w:rPr>
        <w:t xml:space="preserve">me. Die  Antwort des </w:t>
      </w:r>
      <w:proofErr w:type="gramStart"/>
      <w:r w:rsidR="00675DFA">
        <w:rPr>
          <w:rFonts w:ascii="Arial" w:hAnsi="Arial" w:cs="Arial"/>
          <w:sz w:val="24"/>
          <w:szCs w:val="24"/>
        </w:rPr>
        <w:t>Buddha</w:t>
      </w:r>
      <w:proofErr w:type="gramEnd"/>
      <w:r w:rsidR="00675DFA">
        <w:rPr>
          <w:rFonts w:ascii="Arial" w:hAnsi="Arial" w:cs="Arial"/>
          <w:sz w:val="24"/>
          <w:szCs w:val="24"/>
        </w:rPr>
        <w:t xml:space="preserve"> lautete, „dass es nicht zutreffe und ein solcher Kriege</w:t>
      </w:r>
      <w:r>
        <w:rPr>
          <w:rFonts w:ascii="Arial" w:hAnsi="Arial" w:cs="Arial"/>
          <w:sz w:val="24"/>
          <w:szCs w:val="24"/>
        </w:rPr>
        <w:t>r</w:t>
      </w:r>
      <w:r w:rsidR="00675DFA">
        <w:rPr>
          <w:rFonts w:ascii="Arial" w:hAnsi="Arial" w:cs="Arial"/>
          <w:sz w:val="24"/>
          <w:szCs w:val="24"/>
        </w:rPr>
        <w:t xml:space="preserve"> angesichts seiner Gewaltbereitschaft vielmehr in einer Hölle lande.“ (9)</w:t>
      </w:r>
    </w:p>
    <w:p w:rsidR="005B588F" w:rsidRDefault="00675DFA"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 xml:space="preserve">Wie sich gezeigt hat, deckt die </w:t>
      </w:r>
      <w:r w:rsidR="00741941">
        <w:rPr>
          <w:rFonts w:ascii="Arial" w:hAnsi="Arial" w:cs="Arial"/>
          <w:sz w:val="24"/>
          <w:szCs w:val="24"/>
        </w:rPr>
        <w:t xml:space="preserve">zuvor </w:t>
      </w:r>
      <w:r>
        <w:rPr>
          <w:rFonts w:ascii="Arial" w:hAnsi="Arial" w:cs="Arial"/>
          <w:sz w:val="24"/>
          <w:szCs w:val="24"/>
        </w:rPr>
        <w:t xml:space="preserve">zitierte Lehrrede des </w:t>
      </w:r>
      <w:proofErr w:type="gramStart"/>
      <w:r>
        <w:rPr>
          <w:rFonts w:ascii="Arial" w:hAnsi="Arial" w:cs="Arial"/>
          <w:sz w:val="24"/>
          <w:szCs w:val="24"/>
        </w:rPr>
        <w:t>Buddha</w:t>
      </w:r>
      <w:proofErr w:type="gramEnd"/>
      <w:r>
        <w:rPr>
          <w:rFonts w:ascii="Arial" w:hAnsi="Arial" w:cs="Arial"/>
          <w:sz w:val="24"/>
          <w:szCs w:val="24"/>
        </w:rPr>
        <w:t xml:space="preserve"> zwar nicht alle Felder möglicher Gewaltanwendung</w:t>
      </w:r>
      <w:r>
        <w:t xml:space="preserve"> </w:t>
      </w:r>
      <w:r w:rsidR="00F72FC4">
        <w:t xml:space="preserve"> </w:t>
      </w:r>
      <w:r w:rsidRPr="00675DFA">
        <w:rPr>
          <w:rFonts w:ascii="Arial" w:hAnsi="Arial" w:cs="Arial"/>
          <w:sz w:val="24"/>
          <w:szCs w:val="24"/>
        </w:rPr>
        <w:t>ab. Doch lässt sich von hier</w:t>
      </w:r>
      <w:r w:rsidR="00F72FC4" w:rsidRPr="00675DFA">
        <w:rPr>
          <w:rFonts w:ascii="Arial" w:hAnsi="Arial" w:cs="Arial"/>
          <w:sz w:val="24"/>
          <w:szCs w:val="24"/>
        </w:rPr>
        <w:t xml:space="preserve"> </w:t>
      </w:r>
      <w:r w:rsidR="005B588F">
        <w:rPr>
          <w:rFonts w:ascii="Arial" w:hAnsi="Arial" w:cs="Arial"/>
          <w:sz w:val="24"/>
          <w:szCs w:val="24"/>
        </w:rPr>
        <w:t xml:space="preserve">aus erkennen, dass der spätere und vor allem der moderne Buddhismus vor Entscheidungen </w:t>
      </w:r>
      <w:proofErr w:type="gramStart"/>
      <w:r w:rsidR="005B588F">
        <w:rPr>
          <w:rFonts w:ascii="Arial" w:hAnsi="Arial" w:cs="Arial"/>
          <w:sz w:val="24"/>
          <w:szCs w:val="24"/>
        </w:rPr>
        <w:t>steht</w:t>
      </w:r>
      <w:proofErr w:type="gramEnd"/>
      <w:r w:rsidR="005B588F">
        <w:rPr>
          <w:rFonts w:ascii="Arial" w:hAnsi="Arial" w:cs="Arial"/>
          <w:sz w:val="24"/>
          <w:szCs w:val="24"/>
        </w:rPr>
        <w:t xml:space="preserve">, die er neu erkennen und klären muss. </w:t>
      </w:r>
    </w:p>
    <w:p w:rsidR="005B588F" w:rsidRDefault="005B588F"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 „Selbstquäler“ haben</w:t>
      </w:r>
      <w:r w:rsidR="00F72FC4" w:rsidRPr="00675DFA">
        <w:rPr>
          <w:rFonts w:ascii="Arial" w:hAnsi="Arial" w:cs="Arial"/>
          <w:sz w:val="24"/>
          <w:szCs w:val="24"/>
        </w:rPr>
        <w:t xml:space="preserve"> </w:t>
      </w:r>
      <w:r>
        <w:rPr>
          <w:rFonts w:ascii="Arial" w:hAnsi="Arial" w:cs="Arial"/>
          <w:sz w:val="24"/>
          <w:szCs w:val="24"/>
        </w:rPr>
        <w:t>es mit der Gewaltanwendung gegenüber der eigenen Person zu tun; - ein Thema, das in den Selbstverbrennungen unserer Tage höchste Aktual</w:t>
      </w:r>
      <w:r>
        <w:rPr>
          <w:rFonts w:ascii="Arial" w:hAnsi="Arial" w:cs="Arial"/>
          <w:sz w:val="24"/>
          <w:szCs w:val="24"/>
        </w:rPr>
        <w:t>i</w:t>
      </w:r>
      <w:r>
        <w:rPr>
          <w:rFonts w:ascii="Arial" w:hAnsi="Arial" w:cs="Arial"/>
          <w:sz w:val="24"/>
          <w:szCs w:val="24"/>
        </w:rPr>
        <w:t>tät gewonnen hat.</w:t>
      </w:r>
    </w:p>
    <w:p w:rsidR="005B588F" w:rsidRDefault="005B588F"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 „</w:t>
      </w:r>
      <w:proofErr w:type="spellStart"/>
      <w:r>
        <w:rPr>
          <w:rFonts w:ascii="Arial" w:hAnsi="Arial" w:cs="Arial"/>
          <w:sz w:val="24"/>
          <w:szCs w:val="24"/>
        </w:rPr>
        <w:t>Nächstenquälerei</w:t>
      </w:r>
      <w:proofErr w:type="spellEnd"/>
      <w:r>
        <w:rPr>
          <w:rFonts w:ascii="Arial" w:hAnsi="Arial" w:cs="Arial"/>
          <w:sz w:val="24"/>
          <w:szCs w:val="24"/>
        </w:rPr>
        <w:t>“, die den ganzen Bereich des Lebendigen, also auch Pflanzen und Tiere einschließt, berührt sich mit den Fragen der Umweltzerstörung, aber auch de</w:t>
      </w:r>
      <w:r w:rsidR="00741941">
        <w:rPr>
          <w:rFonts w:ascii="Arial" w:hAnsi="Arial" w:cs="Arial"/>
          <w:sz w:val="24"/>
          <w:szCs w:val="24"/>
        </w:rPr>
        <w:t>m</w:t>
      </w:r>
      <w:r>
        <w:rPr>
          <w:rFonts w:ascii="Arial" w:hAnsi="Arial" w:cs="Arial"/>
          <w:sz w:val="24"/>
          <w:szCs w:val="24"/>
        </w:rPr>
        <w:t xml:space="preserve"> Vegetariertum</w:t>
      </w:r>
      <w:r w:rsidR="00741941">
        <w:rPr>
          <w:rFonts w:ascii="Arial" w:hAnsi="Arial" w:cs="Arial"/>
          <w:sz w:val="24"/>
          <w:szCs w:val="24"/>
        </w:rPr>
        <w:t>, der manipulativen Behandlung</w:t>
      </w:r>
      <w:r w:rsidR="00833E45">
        <w:rPr>
          <w:rFonts w:ascii="Arial" w:hAnsi="Arial" w:cs="Arial"/>
          <w:sz w:val="24"/>
          <w:szCs w:val="24"/>
        </w:rPr>
        <w:t xml:space="preserve"> </w:t>
      </w:r>
      <w:r w:rsidR="00741941">
        <w:rPr>
          <w:rFonts w:ascii="Arial" w:hAnsi="Arial" w:cs="Arial"/>
          <w:sz w:val="24"/>
          <w:szCs w:val="24"/>
        </w:rPr>
        <w:t xml:space="preserve">von Lebensmitteln, </w:t>
      </w:r>
      <w:r w:rsidR="00833E45">
        <w:rPr>
          <w:rFonts w:ascii="Arial" w:hAnsi="Arial" w:cs="Arial"/>
          <w:sz w:val="24"/>
          <w:szCs w:val="24"/>
        </w:rPr>
        <w:t>der heutigen Tierhaltung und Tierzucht.</w:t>
      </w:r>
    </w:p>
    <w:p w:rsidR="005B588F" w:rsidRDefault="005B588F"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 xml:space="preserve">● Im Bereich des Menschlichen müssen sich </w:t>
      </w:r>
      <w:r w:rsidR="00741941">
        <w:rPr>
          <w:rFonts w:ascii="Arial" w:hAnsi="Arial" w:cs="Arial"/>
          <w:sz w:val="24"/>
          <w:szCs w:val="24"/>
        </w:rPr>
        <w:t xml:space="preserve">heute </w:t>
      </w:r>
      <w:r>
        <w:rPr>
          <w:rFonts w:ascii="Arial" w:hAnsi="Arial" w:cs="Arial"/>
          <w:sz w:val="24"/>
          <w:szCs w:val="24"/>
        </w:rPr>
        <w:t xml:space="preserve">auch </w:t>
      </w:r>
      <w:r w:rsidR="00A44133">
        <w:rPr>
          <w:rFonts w:ascii="Arial" w:hAnsi="Arial" w:cs="Arial"/>
          <w:sz w:val="24"/>
          <w:szCs w:val="24"/>
        </w:rPr>
        <w:t xml:space="preserve">Buddhisten und Hindus den Fragen des </w:t>
      </w:r>
      <w:r>
        <w:rPr>
          <w:rFonts w:ascii="Arial" w:hAnsi="Arial" w:cs="Arial"/>
          <w:sz w:val="24"/>
          <w:szCs w:val="24"/>
        </w:rPr>
        <w:t>werdende</w:t>
      </w:r>
      <w:r w:rsidR="00A44133">
        <w:rPr>
          <w:rFonts w:ascii="Arial" w:hAnsi="Arial" w:cs="Arial"/>
          <w:sz w:val="24"/>
          <w:szCs w:val="24"/>
        </w:rPr>
        <w:t>n</w:t>
      </w:r>
      <w:r>
        <w:rPr>
          <w:rFonts w:ascii="Arial" w:hAnsi="Arial" w:cs="Arial"/>
          <w:sz w:val="24"/>
          <w:szCs w:val="24"/>
        </w:rPr>
        <w:t xml:space="preserve"> Leben</w:t>
      </w:r>
      <w:r w:rsidR="00A44133">
        <w:rPr>
          <w:rFonts w:ascii="Arial" w:hAnsi="Arial" w:cs="Arial"/>
          <w:sz w:val="24"/>
          <w:szCs w:val="24"/>
        </w:rPr>
        <w:t>s</w:t>
      </w:r>
      <w:r>
        <w:rPr>
          <w:rFonts w:ascii="Arial" w:hAnsi="Arial" w:cs="Arial"/>
          <w:sz w:val="24"/>
          <w:szCs w:val="24"/>
        </w:rPr>
        <w:t xml:space="preserve">, </w:t>
      </w:r>
      <w:r w:rsidR="006230B2">
        <w:rPr>
          <w:rFonts w:ascii="Arial" w:hAnsi="Arial" w:cs="Arial"/>
          <w:sz w:val="24"/>
          <w:szCs w:val="24"/>
        </w:rPr>
        <w:t>der Abtreibung, der Empfängnisverhütung und</w:t>
      </w:r>
      <w:r w:rsidR="00741941">
        <w:rPr>
          <w:rFonts w:ascii="Arial" w:hAnsi="Arial" w:cs="Arial"/>
          <w:sz w:val="24"/>
          <w:szCs w:val="24"/>
        </w:rPr>
        <w:t xml:space="preserve"> der Embryonenforschung stellen. Gleiches gilt für den Umgang mit Sterben und </w:t>
      </w:r>
      <w:r>
        <w:rPr>
          <w:rFonts w:ascii="Arial" w:hAnsi="Arial" w:cs="Arial"/>
          <w:sz w:val="24"/>
          <w:szCs w:val="24"/>
        </w:rPr>
        <w:t>Tod</w:t>
      </w:r>
      <w:r w:rsidR="006230B2">
        <w:rPr>
          <w:rFonts w:ascii="Arial" w:hAnsi="Arial" w:cs="Arial"/>
          <w:sz w:val="24"/>
          <w:szCs w:val="24"/>
        </w:rPr>
        <w:t xml:space="preserve"> und de</w:t>
      </w:r>
      <w:r w:rsidR="00741941">
        <w:rPr>
          <w:rFonts w:ascii="Arial" w:hAnsi="Arial" w:cs="Arial"/>
          <w:sz w:val="24"/>
          <w:szCs w:val="24"/>
        </w:rPr>
        <w:t xml:space="preserve">n Sterbenden, </w:t>
      </w:r>
      <w:r w:rsidR="00B4781A">
        <w:rPr>
          <w:rFonts w:ascii="Arial" w:hAnsi="Arial" w:cs="Arial"/>
          <w:sz w:val="24"/>
          <w:szCs w:val="24"/>
        </w:rPr>
        <w:t xml:space="preserve">entsprechend </w:t>
      </w:r>
      <w:r w:rsidR="006230B2">
        <w:rPr>
          <w:rFonts w:ascii="Arial" w:hAnsi="Arial" w:cs="Arial"/>
          <w:sz w:val="24"/>
          <w:szCs w:val="24"/>
        </w:rPr>
        <w:t xml:space="preserve">den verschiedenen Formen der </w:t>
      </w:r>
      <w:r>
        <w:rPr>
          <w:rFonts w:ascii="Arial" w:hAnsi="Arial" w:cs="Arial"/>
          <w:sz w:val="24"/>
          <w:szCs w:val="24"/>
        </w:rPr>
        <w:t>Sterbehilfe</w:t>
      </w:r>
      <w:r w:rsidR="006230B2">
        <w:rPr>
          <w:rFonts w:ascii="Arial" w:hAnsi="Arial" w:cs="Arial"/>
          <w:sz w:val="24"/>
          <w:szCs w:val="24"/>
        </w:rPr>
        <w:t xml:space="preserve"> bi</w:t>
      </w:r>
      <w:r w:rsidR="00741941">
        <w:rPr>
          <w:rFonts w:ascii="Arial" w:hAnsi="Arial" w:cs="Arial"/>
          <w:sz w:val="24"/>
          <w:szCs w:val="24"/>
        </w:rPr>
        <w:t>s</w:t>
      </w:r>
      <w:r w:rsidR="006230B2">
        <w:rPr>
          <w:rFonts w:ascii="Arial" w:hAnsi="Arial" w:cs="Arial"/>
          <w:sz w:val="24"/>
          <w:szCs w:val="24"/>
        </w:rPr>
        <w:t xml:space="preserve"> hin zur aktiven Sterbehilfe</w:t>
      </w:r>
      <w:r>
        <w:rPr>
          <w:rFonts w:ascii="Arial" w:hAnsi="Arial" w:cs="Arial"/>
          <w:sz w:val="24"/>
          <w:szCs w:val="24"/>
        </w:rPr>
        <w:t>.</w:t>
      </w:r>
    </w:p>
    <w:p w:rsidR="006230B2" w:rsidRDefault="006230B2" w:rsidP="00675DFA">
      <w:pPr>
        <w:pStyle w:val="Aufzhlungszeichen"/>
        <w:numPr>
          <w:ilvl w:val="0"/>
          <w:numId w:val="0"/>
        </w:numPr>
        <w:spacing w:line="360" w:lineRule="auto"/>
        <w:jc w:val="both"/>
        <w:rPr>
          <w:rFonts w:ascii="Arial" w:hAnsi="Arial" w:cs="Arial"/>
          <w:sz w:val="24"/>
          <w:szCs w:val="24"/>
        </w:rPr>
      </w:pPr>
      <w:proofErr w:type="spellStart"/>
      <w:r>
        <w:rPr>
          <w:rFonts w:ascii="Arial" w:hAnsi="Arial" w:cs="Arial"/>
          <w:sz w:val="24"/>
          <w:szCs w:val="24"/>
        </w:rPr>
        <w:t>Schmithausen</w:t>
      </w:r>
      <w:proofErr w:type="spellEnd"/>
      <w:r>
        <w:rPr>
          <w:rFonts w:ascii="Arial" w:hAnsi="Arial" w:cs="Arial"/>
          <w:sz w:val="24"/>
          <w:szCs w:val="24"/>
        </w:rPr>
        <w:t xml:space="preserve"> weist darauf hin, dass das Töten von Menschen schon deshalb schwer</w:t>
      </w:r>
      <w:r w:rsidR="00741941">
        <w:rPr>
          <w:rFonts w:ascii="Arial" w:hAnsi="Arial" w:cs="Arial"/>
          <w:sz w:val="24"/>
          <w:szCs w:val="24"/>
        </w:rPr>
        <w:t>wiegender ist</w:t>
      </w:r>
      <w:r>
        <w:rPr>
          <w:rFonts w:ascii="Arial" w:hAnsi="Arial" w:cs="Arial"/>
          <w:sz w:val="24"/>
          <w:szCs w:val="24"/>
        </w:rPr>
        <w:t xml:space="preserve">, weil nach allgemeiner Überzeugung die menschliche Existenz allein die Möglichkeit bietet, der vollen Befreiung teilhaft zu werden (vgl. 12). Hier </w:t>
      </w:r>
      <w:r>
        <w:rPr>
          <w:rFonts w:ascii="Arial" w:hAnsi="Arial" w:cs="Arial"/>
          <w:sz w:val="24"/>
          <w:szCs w:val="24"/>
        </w:rPr>
        <w:lastRenderedPageBreak/>
        <w:t xml:space="preserve">muss man sich </w:t>
      </w:r>
      <w:r w:rsidR="00741941">
        <w:rPr>
          <w:rFonts w:ascii="Arial" w:hAnsi="Arial" w:cs="Arial"/>
          <w:sz w:val="24"/>
          <w:szCs w:val="24"/>
        </w:rPr>
        <w:t xml:space="preserve">aber dann </w:t>
      </w:r>
      <w:r>
        <w:rPr>
          <w:rFonts w:ascii="Arial" w:hAnsi="Arial" w:cs="Arial"/>
          <w:sz w:val="24"/>
          <w:szCs w:val="24"/>
        </w:rPr>
        <w:t>vor voreiligen Pauschalisierungen und Radikallösungen hüten. In den verschiedenen buddhistischen Schulen gibt es angesichts der differe</w:t>
      </w:r>
      <w:r>
        <w:rPr>
          <w:rFonts w:ascii="Arial" w:hAnsi="Arial" w:cs="Arial"/>
          <w:sz w:val="24"/>
          <w:szCs w:val="24"/>
        </w:rPr>
        <w:t>n</w:t>
      </w:r>
      <w:r>
        <w:rPr>
          <w:rFonts w:ascii="Arial" w:hAnsi="Arial" w:cs="Arial"/>
          <w:sz w:val="24"/>
          <w:szCs w:val="24"/>
        </w:rPr>
        <w:t>zierten menschlichen Situationen nicht selten auch differenzierte Lösungsvors</w:t>
      </w:r>
      <w:r w:rsidR="00833E45">
        <w:rPr>
          <w:rFonts w:ascii="Arial" w:hAnsi="Arial" w:cs="Arial"/>
          <w:sz w:val="24"/>
          <w:szCs w:val="24"/>
        </w:rPr>
        <w:t>t</w:t>
      </w:r>
      <w:r>
        <w:rPr>
          <w:rFonts w:ascii="Arial" w:hAnsi="Arial" w:cs="Arial"/>
          <w:sz w:val="24"/>
          <w:szCs w:val="24"/>
        </w:rPr>
        <w:t>ellu</w:t>
      </w:r>
      <w:r>
        <w:rPr>
          <w:rFonts w:ascii="Arial" w:hAnsi="Arial" w:cs="Arial"/>
          <w:sz w:val="24"/>
          <w:szCs w:val="24"/>
        </w:rPr>
        <w:t>n</w:t>
      </w:r>
      <w:r>
        <w:rPr>
          <w:rFonts w:ascii="Arial" w:hAnsi="Arial" w:cs="Arial"/>
          <w:sz w:val="24"/>
          <w:szCs w:val="24"/>
        </w:rPr>
        <w:t xml:space="preserve">gen. </w:t>
      </w:r>
    </w:p>
    <w:p w:rsidR="00B4781A" w:rsidRDefault="00833E45"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Aus den verschiedenen Beispielen sei eines angeführt</w:t>
      </w:r>
      <w:r w:rsidR="00E3487F">
        <w:rPr>
          <w:rFonts w:ascii="Arial" w:hAnsi="Arial" w:cs="Arial"/>
          <w:sz w:val="24"/>
          <w:szCs w:val="24"/>
        </w:rPr>
        <w:t xml:space="preserve">, das zugleich einen guten Einblick in eine </w:t>
      </w:r>
      <w:r w:rsidR="00741941">
        <w:rPr>
          <w:rFonts w:ascii="Arial" w:hAnsi="Arial" w:cs="Arial"/>
          <w:sz w:val="24"/>
          <w:szCs w:val="24"/>
        </w:rPr>
        <w:t xml:space="preserve">uns </w:t>
      </w:r>
      <w:r w:rsidR="00E3487F">
        <w:rPr>
          <w:rFonts w:ascii="Arial" w:hAnsi="Arial" w:cs="Arial"/>
          <w:sz w:val="24"/>
          <w:szCs w:val="24"/>
        </w:rPr>
        <w:t xml:space="preserve">fremde Denkwelt </w:t>
      </w:r>
      <w:r w:rsidR="00741941">
        <w:rPr>
          <w:rFonts w:ascii="Arial" w:hAnsi="Arial" w:cs="Arial"/>
          <w:sz w:val="24"/>
          <w:szCs w:val="24"/>
        </w:rPr>
        <w:t>vermittelt</w:t>
      </w:r>
      <w:r w:rsidR="00E3487F">
        <w:rPr>
          <w:rFonts w:ascii="Arial" w:hAnsi="Arial" w:cs="Arial"/>
          <w:sz w:val="24"/>
          <w:szCs w:val="24"/>
        </w:rPr>
        <w:t>. Zugleich lädt es ein, einen Sachve</w:t>
      </w:r>
      <w:r w:rsidR="00E3487F">
        <w:rPr>
          <w:rFonts w:ascii="Arial" w:hAnsi="Arial" w:cs="Arial"/>
          <w:sz w:val="24"/>
          <w:szCs w:val="24"/>
        </w:rPr>
        <w:t>r</w:t>
      </w:r>
      <w:r w:rsidR="00E3487F">
        <w:rPr>
          <w:rFonts w:ascii="Arial" w:hAnsi="Arial" w:cs="Arial"/>
          <w:sz w:val="24"/>
          <w:szCs w:val="24"/>
        </w:rPr>
        <w:t xml:space="preserve">halt </w:t>
      </w:r>
      <w:r w:rsidR="00B4781A">
        <w:rPr>
          <w:rFonts w:ascii="Arial" w:hAnsi="Arial" w:cs="Arial"/>
          <w:sz w:val="24"/>
          <w:szCs w:val="24"/>
        </w:rPr>
        <w:t xml:space="preserve">nicht nur aus der eigenen Perspektive, sondern auch </w:t>
      </w:r>
      <w:r w:rsidR="00E3487F">
        <w:rPr>
          <w:rFonts w:ascii="Arial" w:hAnsi="Arial" w:cs="Arial"/>
          <w:sz w:val="24"/>
          <w:szCs w:val="24"/>
        </w:rPr>
        <w:t>einmal von einem fremden Standpunkt aus zu betrach</w:t>
      </w:r>
      <w:r w:rsidR="00B4781A">
        <w:rPr>
          <w:rFonts w:ascii="Arial" w:hAnsi="Arial" w:cs="Arial"/>
          <w:sz w:val="24"/>
          <w:szCs w:val="24"/>
        </w:rPr>
        <w:t xml:space="preserve">ten und ein </w:t>
      </w:r>
      <w:r w:rsidR="00E3487F">
        <w:rPr>
          <w:rFonts w:ascii="Arial" w:hAnsi="Arial" w:cs="Arial"/>
          <w:sz w:val="24"/>
          <w:szCs w:val="24"/>
        </w:rPr>
        <w:t>Urteil nachzuvollziehen</w:t>
      </w:r>
      <w:r w:rsidR="00B4781A">
        <w:rPr>
          <w:rFonts w:ascii="Arial" w:hAnsi="Arial" w:cs="Arial"/>
          <w:sz w:val="24"/>
          <w:szCs w:val="24"/>
        </w:rPr>
        <w:t>, das nicht unbedingt dem eigenen entspricht:</w:t>
      </w:r>
      <w:r w:rsidR="00E3487F">
        <w:rPr>
          <w:rFonts w:ascii="Arial" w:hAnsi="Arial" w:cs="Arial"/>
          <w:sz w:val="24"/>
          <w:szCs w:val="24"/>
        </w:rPr>
        <w:t xml:space="preserve"> </w:t>
      </w:r>
    </w:p>
    <w:p w:rsidR="00833E45" w:rsidRDefault="00833E45"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E</w:t>
      </w:r>
      <w:r w:rsidR="00E3487F">
        <w:rPr>
          <w:rFonts w:ascii="Arial" w:hAnsi="Arial" w:cs="Arial"/>
          <w:sz w:val="24"/>
          <w:szCs w:val="24"/>
        </w:rPr>
        <w:t>s geht um einen</w:t>
      </w:r>
      <w:r>
        <w:rPr>
          <w:rFonts w:ascii="Arial" w:hAnsi="Arial" w:cs="Arial"/>
          <w:sz w:val="24"/>
          <w:szCs w:val="24"/>
        </w:rPr>
        <w:t xml:space="preserve"> Bodhisattva</w:t>
      </w:r>
      <w:r w:rsidR="00E3487F">
        <w:rPr>
          <w:rFonts w:ascii="Arial" w:hAnsi="Arial" w:cs="Arial"/>
          <w:sz w:val="24"/>
          <w:szCs w:val="24"/>
        </w:rPr>
        <w:t xml:space="preserve">, der </w:t>
      </w:r>
      <w:r>
        <w:rPr>
          <w:rFonts w:ascii="Arial" w:hAnsi="Arial" w:cs="Arial"/>
          <w:sz w:val="24"/>
          <w:szCs w:val="24"/>
        </w:rPr>
        <w:t xml:space="preserve"> sieht, wie </w:t>
      </w:r>
      <w:r w:rsidR="00E3487F">
        <w:rPr>
          <w:rFonts w:ascii="Arial" w:hAnsi="Arial" w:cs="Arial"/>
          <w:sz w:val="24"/>
          <w:szCs w:val="24"/>
        </w:rPr>
        <w:t>jemand</w:t>
      </w:r>
      <w:r>
        <w:rPr>
          <w:rFonts w:ascii="Arial" w:hAnsi="Arial" w:cs="Arial"/>
          <w:sz w:val="24"/>
          <w:szCs w:val="24"/>
        </w:rPr>
        <w:t xml:space="preserve"> im Begriff steht, eine Gruppe von Reisenden zu töten. </w:t>
      </w:r>
      <w:r w:rsidR="00E3487F">
        <w:rPr>
          <w:rFonts w:ascii="Arial" w:hAnsi="Arial" w:cs="Arial"/>
          <w:sz w:val="24"/>
          <w:szCs w:val="24"/>
        </w:rPr>
        <w:t>Dem Bodhisattva, also jemand</w:t>
      </w:r>
      <w:r w:rsidR="00741941">
        <w:rPr>
          <w:rFonts w:ascii="Arial" w:hAnsi="Arial" w:cs="Arial"/>
          <w:sz w:val="24"/>
          <w:szCs w:val="24"/>
        </w:rPr>
        <w:t>em</w:t>
      </w:r>
      <w:r w:rsidR="00E3487F">
        <w:rPr>
          <w:rFonts w:ascii="Arial" w:hAnsi="Arial" w:cs="Arial"/>
          <w:sz w:val="24"/>
          <w:szCs w:val="24"/>
        </w:rPr>
        <w:t xml:space="preserve">, der vor dem </w:t>
      </w:r>
      <w:r w:rsidR="00741941">
        <w:rPr>
          <w:rFonts w:ascii="Arial" w:hAnsi="Arial" w:cs="Arial"/>
          <w:sz w:val="24"/>
          <w:szCs w:val="24"/>
        </w:rPr>
        <w:t xml:space="preserve">vollen </w:t>
      </w:r>
      <w:r w:rsidR="00E3487F">
        <w:rPr>
          <w:rFonts w:ascii="Arial" w:hAnsi="Arial" w:cs="Arial"/>
          <w:sz w:val="24"/>
          <w:szCs w:val="24"/>
        </w:rPr>
        <w:t>E</w:t>
      </w:r>
      <w:r w:rsidR="00E3487F">
        <w:rPr>
          <w:rFonts w:ascii="Arial" w:hAnsi="Arial" w:cs="Arial"/>
          <w:sz w:val="24"/>
          <w:szCs w:val="24"/>
        </w:rPr>
        <w:t>r</w:t>
      </w:r>
      <w:r w:rsidR="00E3487F">
        <w:rPr>
          <w:rFonts w:ascii="Arial" w:hAnsi="Arial" w:cs="Arial"/>
          <w:sz w:val="24"/>
          <w:szCs w:val="24"/>
        </w:rPr>
        <w:t>wachen steht, aber aus Mitleid mit den immer noch Suchenden diesen zu Hilfe ko</w:t>
      </w:r>
      <w:r w:rsidR="00E3487F">
        <w:rPr>
          <w:rFonts w:ascii="Arial" w:hAnsi="Arial" w:cs="Arial"/>
          <w:sz w:val="24"/>
          <w:szCs w:val="24"/>
        </w:rPr>
        <w:t>m</w:t>
      </w:r>
      <w:r w:rsidR="00E3487F">
        <w:rPr>
          <w:rFonts w:ascii="Arial" w:hAnsi="Arial" w:cs="Arial"/>
          <w:sz w:val="24"/>
          <w:szCs w:val="24"/>
        </w:rPr>
        <w:t>m</w:t>
      </w:r>
      <w:r w:rsidR="00B4781A">
        <w:rPr>
          <w:rFonts w:ascii="Arial" w:hAnsi="Arial" w:cs="Arial"/>
          <w:sz w:val="24"/>
          <w:szCs w:val="24"/>
        </w:rPr>
        <w:t>en will</w:t>
      </w:r>
      <w:r w:rsidR="00E3487F">
        <w:rPr>
          <w:rFonts w:ascii="Arial" w:hAnsi="Arial" w:cs="Arial"/>
          <w:sz w:val="24"/>
          <w:szCs w:val="24"/>
        </w:rPr>
        <w:t xml:space="preserve">, </w:t>
      </w:r>
      <w:r>
        <w:rPr>
          <w:rFonts w:ascii="Arial" w:hAnsi="Arial" w:cs="Arial"/>
          <w:sz w:val="24"/>
          <w:szCs w:val="24"/>
        </w:rPr>
        <w:t xml:space="preserve">ist es aufgrund bestimmter </w:t>
      </w:r>
      <w:r w:rsidR="00E3487F">
        <w:rPr>
          <w:rFonts w:ascii="Arial" w:hAnsi="Arial" w:cs="Arial"/>
          <w:sz w:val="24"/>
          <w:szCs w:val="24"/>
        </w:rPr>
        <w:t xml:space="preserve">buddhistischer </w:t>
      </w:r>
      <w:r>
        <w:rPr>
          <w:rFonts w:ascii="Arial" w:hAnsi="Arial" w:cs="Arial"/>
          <w:sz w:val="24"/>
          <w:szCs w:val="24"/>
        </w:rPr>
        <w:t xml:space="preserve">Texte erlaubt, den Menschen zu töten, weil </w:t>
      </w:r>
      <w:r w:rsidR="00741941">
        <w:rPr>
          <w:rFonts w:ascii="Arial" w:hAnsi="Arial" w:cs="Arial"/>
          <w:sz w:val="24"/>
          <w:szCs w:val="24"/>
        </w:rPr>
        <w:t>diese Tötung</w:t>
      </w:r>
      <w:r>
        <w:rPr>
          <w:rFonts w:ascii="Arial" w:hAnsi="Arial" w:cs="Arial"/>
          <w:sz w:val="24"/>
          <w:szCs w:val="24"/>
        </w:rPr>
        <w:t xml:space="preserve"> eine Mitleidstat ist</w:t>
      </w:r>
      <w:r w:rsidR="00B43169">
        <w:rPr>
          <w:rFonts w:ascii="Arial" w:hAnsi="Arial" w:cs="Arial"/>
          <w:sz w:val="24"/>
          <w:szCs w:val="24"/>
        </w:rPr>
        <w:t xml:space="preserve">. Dieses </w:t>
      </w:r>
      <w:r>
        <w:rPr>
          <w:rFonts w:ascii="Arial" w:hAnsi="Arial" w:cs="Arial"/>
          <w:sz w:val="24"/>
          <w:szCs w:val="24"/>
        </w:rPr>
        <w:t xml:space="preserve">Mitleid </w:t>
      </w:r>
      <w:r w:rsidR="00B43169">
        <w:rPr>
          <w:rFonts w:ascii="Arial" w:hAnsi="Arial" w:cs="Arial"/>
          <w:sz w:val="24"/>
          <w:szCs w:val="24"/>
        </w:rPr>
        <w:t xml:space="preserve">gilt </w:t>
      </w:r>
      <w:r>
        <w:rPr>
          <w:rFonts w:ascii="Arial" w:hAnsi="Arial" w:cs="Arial"/>
          <w:sz w:val="24"/>
          <w:szCs w:val="24"/>
        </w:rPr>
        <w:t xml:space="preserve">aber </w:t>
      </w:r>
      <w:r w:rsidR="00E3487F">
        <w:rPr>
          <w:rFonts w:ascii="Arial" w:hAnsi="Arial" w:cs="Arial"/>
          <w:sz w:val="24"/>
          <w:szCs w:val="24"/>
        </w:rPr>
        <w:t xml:space="preserve">hier </w:t>
      </w:r>
      <w:r w:rsidR="00B43169">
        <w:rPr>
          <w:rFonts w:ascii="Arial" w:hAnsi="Arial" w:cs="Arial"/>
          <w:sz w:val="24"/>
          <w:szCs w:val="24"/>
        </w:rPr>
        <w:t xml:space="preserve">nicht </w:t>
      </w:r>
      <w:r>
        <w:rPr>
          <w:rFonts w:ascii="Arial" w:hAnsi="Arial" w:cs="Arial"/>
          <w:sz w:val="24"/>
          <w:szCs w:val="24"/>
        </w:rPr>
        <w:t>den O</w:t>
      </w:r>
      <w:r>
        <w:rPr>
          <w:rFonts w:ascii="Arial" w:hAnsi="Arial" w:cs="Arial"/>
          <w:sz w:val="24"/>
          <w:szCs w:val="24"/>
        </w:rPr>
        <w:t>p</w:t>
      </w:r>
      <w:r>
        <w:rPr>
          <w:rFonts w:ascii="Arial" w:hAnsi="Arial" w:cs="Arial"/>
          <w:sz w:val="24"/>
          <w:szCs w:val="24"/>
        </w:rPr>
        <w:t xml:space="preserve">fern, sondern dem Täter, weil </w:t>
      </w:r>
      <w:r w:rsidR="00E3487F">
        <w:rPr>
          <w:rFonts w:ascii="Arial" w:hAnsi="Arial" w:cs="Arial"/>
          <w:sz w:val="24"/>
          <w:szCs w:val="24"/>
        </w:rPr>
        <w:t>dies</w:t>
      </w:r>
      <w:r>
        <w:rPr>
          <w:rFonts w:ascii="Arial" w:hAnsi="Arial" w:cs="Arial"/>
          <w:sz w:val="24"/>
          <w:szCs w:val="24"/>
        </w:rPr>
        <w:t xml:space="preserve">er dabei ist, seine eigenen Heilschancen zu </w:t>
      </w:r>
      <w:r w:rsidR="00E3487F">
        <w:rPr>
          <w:rFonts w:ascii="Arial" w:hAnsi="Arial" w:cs="Arial"/>
          <w:sz w:val="24"/>
          <w:szCs w:val="24"/>
        </w:rPr>
        <w:t>ver</w:t>
      </w:r>
      <w:r w:rsidR="00B43169">
        <w:rPr>
          <w:rFonts w:ascii="Arial" w:hAnsi="Arial" w:cs="Arial"/>
          <w:sz w:val="24"/>
          <w:szCs w:val="24"/>
        </w:rPr>
        <w:t>li</w:t>
      </w:r>
      <w:r w:rsidR="00B43169">
        <w:rPr>
          <w:rFonts w:ascii="Arial" w:hAnsi="Arial" w:cs="Arial"/>
          <w:sz w:val="24"/>
          <w:szCs w:val="24"/>
        </w:rPr>
        <w:t>e</w:t>
      </w:r>
      <w:r w:rsidR="00B43169">
        <w:rPr>
          <w:rFonts w:ascii="Arial" w:hAnsi="Arial" w:cs="Arial"/>
          <w:sz w:val="24"/>
          <w:szCs w:val="24"/>
        </w:rPr>
        <w:t>ren</w:t>
      </w:r>
      <w:r>
        <w:rPr>
          <w:rFonts w:ascii="Arial" w:hAnsi="Arial" w:cs="Arial"/>
          <w:sz w:val="24"/>
          <w:szCs w:val="24"/>
        </w:rPr>
        <w:t xml:space="preserve">. „Für den Bodhisattva rangieren die Heilschancen des potentiellen Täters höher als die eigene Karma-Bilanz“ (13). </w:t>
      </w:r>
      <w:r w:rsidR="00B43169">
        <w:rPr>
          <w:rFonts w:ascii="Arial" w:hAnsi="Arial" w:cs="Arial"/>
          <w:sz w:val="24"/>
          <w:szCs w:val="24"/>
        </w:rPr>
        <w:t>Folglich verhindert er durch seinen Tötungsakt, dass der Getötete zu einem Mörder wird und so sein Heil ver</w:t>
      </w:r>
      <w:r w:rsidR="00B4781A">
        <w:rPr>
          <w:rFonts w:ascii="Arial" w:hAnsi="Arial" w:cs="Arial"/>
          <w:sz w:val="24"/>
          <w:szCs w:val="24"/>
        </w:rPr>
        <w:t>spielt</w:t>
      </w:r>
      <w:r w:rsidR="00B43169">
        <w:rPr>
          <w:rFonts w:ascii="Arial" w:hAnsi="Arial" w:cs="Arial"/>
          <w:sz w:val="24"/>
          <w:szCs w:val="24"/>
        </w:rPr>
        <w:t>.</w:t>
      </w:r>
    </w:p>
    <w:p w:rsidR="00120F06" w:rsidRDefault="00120F06"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Soviel wird deutlich: Es gibt einerseits eine Tendenz, in bestimmten Situationen im Umgang mit öffentlichem Gewalteinsatz aus pragmatischen Gründen Kompromisse einzugehen. Andererseits spielt der M</w:t>
      </w:r>
      <w:r w:rsidR="00C51363">
        <w:rPr>
          <w:rFonts w:ascii="Arial" w:hAnsi="Arial" w:cs="Arial"/>
          <w:sz w:val="24"/>
          <w:szCs w:val="24"/>
        </w:rPr>
        <w:t xml:space="preserve">itleidsgedanke zumal im Großen </w:t>
      </w:r>
      <w:r>
        <w:rPr>
          <w:rFonts w:ascii="Arial" w:hAnsi="Arial" w:cs="Arial"/>
          <w:sz w:val="24"/>
          <w:szCs w:val="24"/>
        </w:rPr>
        <w:t xml:space="preserve">Fahrzeug eine deutliche Rolle. </w:t>
      </w:r>
      <w:proofErr w:type="spellStart"/>
      <w:r>
        <w:rPr>
          <w:rFonts w:ascii="Arial" w:hAnsi="Arial" w:cs="Arial"/>
          <w:sz w:val="24"/>
          <w:szCs w:val="24"/>
        </w:rPr>
        <w:t>Schmithausen</w:t>
      </w:r>
      <w:proofErr w:type="spellEnd"/>
      <w:r>
        <w:rPr>
          <w:rFonts w:ascii="Arial" w:hAnsi="Arial" w:cs="Arial"/>
          <w:sz w:val="24"/>
          <w:szCs w:val="24"/>
        </w:rPr>
        <w:t xml:space="preserve"> verdeutlich das auch an der Einstellung zu einem g</w:t>
      </w:r>
      <w:r>
        <w:rPr>
          <w:rFonts w:ascii="Arial" w:hAnsi="Arial" w:cs="Arial"/>
          <w:sz w:val="24"/>
          <w:szCs w:val="24"/>
        </w:rPr>
        <w:t>e</w:t>
      </w:r>
      <w:r>
        <w:rPr>
          <w:rFonts w:ascii="Arial" w:hAnsi="Arial" w:cs="Arial"/>
          <w:sz w:val="24"/>
          <w:szCs w:val="24"/>
        </w:rPr>
        <w:t>rechten K</w:t>
      </w:r>
      <w:r w:rsidR="00B4781A">
        <w:rPr>
          <w:rFonts w:ascii="Arial" w:hAnsi="Arial" w:cs="Arial"/>
          <w:sz w:val="24"/>
          <w:szCs w:val="24"/>
        </w:rPr>
        <w:t>önig</w:t>
      </w:r>
      <w:r>
        <w:rPr>
          <w:rFonts w:ascii="Arial" w:hAnsi="Arial" w:cs="Arial"/>
          <w:sz w:val="24"/>
          <w:szCs w:val="24"/>
        </w:rPr>
        <w:t xml:space="preserve">, die </w:t>
      </w:r>
      <w:r w:rsidR="00C51363">
        <w:rPr>
          <w:rFonts w:ascii="Arial" w:hAnsi="Arial" w:cs="Arial"/>
          <w:sz w:val="24"/>
          <w:szCs w:val="24"/>
        </w:rPr>
        <w:t>zu einem</w:t>
      </w:r>
      <w:r>
        <w:rPr>
          <w:rFonts w:ascii="Arial" w:hAnsi="Arial" w:cs="Arial"/>
          <w:sz w:val="24"/>
          <w:szCs w:val="24"/>
        </w:rPr>
        <w:t xml:space="preserve"> Gegenkonzept zu einer radikal pazifistischen Haltung </w:t>
      </w:r>
      <w:r w:rsidR="00C51363">
        <w:rPr>
          <w:rFonts w:ascii="Arial" w:hAnsi="Arial" w:cs="Arial"/>
          <w:sz w:val="24"/>
          <w:szCs w:val="24"/>
        </w:rPr>
        <w:t>wird</w:t>
      </w:r>
      <w:r>
        <w:rPr>
          <w:rFonts w:ascii="Arial" w:hAnsi="Arial" w:cs="Arial"/>
          <w:sz w:val="24"/>
          <w:szCs w:val="24"/>
        </w:rPr>
        <w:t>:</w:t>
      </w:r>
    </w:p>
    <w:p w:rsidR="00120F06" w:rsidRDefault="00120F06" w:rsidP="00120F06">
      <w:pPr>
        <w:pStyle w:val="Aufzhlungszeichen"/>
        <w:numPr>
          <w:ilvl w:val="0"/>
          <w:numId w:val="0"/>
        </w:numPr>
        <w:spacing w:line="240" w:lineRule="auto"/>
        <w:ind w:left="705"/>
        <w:jc w:val="both"/>
        <w:rPr>
          <w:rFonts w:ascii="Arial" w:hAnsi="Arial" w:cs="Arial"/>
          <w:sz w:val="24"/>
          <w:szCs w:val="24"/>
        </w:rPr>
      </w:pPr>
      <w:r>
        <w:rPr>
          <w:rFonts w:ascii="Arial" w:hAnsi="Arial" w:cs="Arial"/>
          <w:sz w:val="24"/>
          <w:szCs w:val="24"/>
        </w:rPr>
        <w:t xml:space="preserve">„Demgegenüber [d.h., gegenüber einer </w:t>
      </w:r>
      <w:r w:rsidRPr="00120F06">
        <w:rPr>
          <w:rFonts w:ascii="Arial" w:hAnsi="Arial" w:cs="Arial"/>
          <w:i/>
          <w:sz w:val="24"/>
          <w:szCs w:val="24"/>
        </w:rPr>
        <w:t>radikal pazifis</w:t>
      </w:r>
      <w:r w:rsidR="007531A5">
        <w:rPr>
          <w:rFonts w:ascii="Arial" w:hAnsi="Arial" w:cs="Arial"/>
          <w:i/>
          <w:sz w:val="24"/>
          <w:szCs w:val="24"/>
        </w:rPr>
        <w:t>t</w:t>
      </w:r>
      <w:r w:rsidRPr="00120F06">
        <w:rPr>
          <w:rFonts w:ascii="Arial" w:hAnsi="Arial" w:cs="Arial"/>
          <w:i/>
          <w:sz w:val="24"/>
          <w:szCs w:val="24"/>
        </w:rPr>
        <w:t>ischen</w:t>
      </w:r>
      <w:r>
        <w:rPr>
          <w:rFonts w:ascii="Arial" w:hAnsi="Arial" w:cs="Arial"/>
          <w:sz w:val="24"/>
          <w:szCs w:val="24"/>
        </w:rPr>
        <w:t xml:space="preserve"> Position – HW] kann das </w:t>
      </w:r>
      <w:r>
        <w:rPr>
          <w:rFonts w:ascii="Arial" w:hAnsi="Arial" w:cs="Arial"/>
          <w:i/>
          <w:sz w:val="24"/>
          <w:szCs w:val="24"/>
        </w:rPr>
        <w:t>realpolitische</w:t>
      </w:r>
      <w:r w:rsidR="007531A5">
        <w:rPr>
          <w:rFonts w:ascii="Arial" w:hAnsi="Arial" w:cs="Arial"/>
          <w:i/>
          <w:sz w:val="24"/>
          <w:szCs w:val="24"/>
        </w:rPr>
        <w:t xml:space="preserve"> </w:t>
      </w:r>
      <w:r w:rsidR="007531A5">
        <w:rPr>
          <w:rFonts w:ascii="Arial" w:hAnsi="Arial" w:cs="Arial"/>
          <w:sz w:val="24"/>
          <w:szCs w:val="24"/>
        </w:rPr>
        <w:t xml:space="preserve">Gegenkonzept des </w:t>
      </w:r>
      <w:r w:rsidR="007531A5">
        <w:rPr>
          <w:rFonts w:ascii="Arial" w:hAnsi="Arial" w:cs="Arial"/>
          <w:i/>
          <w:sz w:val="24"/>
          <w:szCs w:val="24"/>
        </w:rPr>
        <w:t xml:space="preserve">gerechten </w:t>
      </w:r>
      <w:r w:rsidR="007531A5">
        <w:rPr>
          <w:rFonts w:ascii="Arial" w:hAnsi="Arial" w:cs="Arial"/>
          <w:sz w:val="24"/>
          <w:szCs w:val="24"/>
        </w:rPr>
        <w:t>Königs als Kompromiss mit der Alltagswirklichkeit aufgefasst werden, aber auch als Zurückstellung der eigenen moralisch-spirituellen Reinheit gegenüber einem höher eingestuften Wert, etwa dem Wohlergehen und eventuell auch Heil der anderen. Der g</w:t>
      </w:r>
      <w:r w:rsidR="007531A5">
        <w:rPr>
          <w:rFonts w:ascii="Arial" w:hAnsi="Arial" w:cs="Arial"/>
          <w:sz w:val="24"/>
          <w:szCs w:val="24"/>
        </w:rPr>
        <w:t>e</w:t>
      </w:r>
      <w:r w:rsidR="007531A5">
        <w:rPr>
          <w:rFonts w:ascii="Arial" w:hAnsi="Arial" w:cs="Arial"/>
          <w:sz w:val="24"/>
          <w:szCs w:val="24"/>
        </w:rPr>
        <w:t>rechte König wird meist so gesehen, dass er zwar auf Gewalt nicht gänzlich verzichtet, sie aber nur im Rahmen des Unvermeidlichen und maßvoll ei</w:t>
      </w:r>
      <w:r w:rsidR="007531A5">
        <w:rPr>
          <w:rFonts w:ascii="Arial" w:hAnsi="Arial" w:cs="Arial"/>
          <w:sz w:val="24"/>
          <w:szCs w:val="24"/>
        </w:rPr>
        <w:t>n</w:t>
      </w:r>
      <w:r w:rsidR="007531A5">
        <w:rPr>
          <w:rFonts w:ascii="Arial" w:hAnsi="Arial" w:cs="Arial"/>
          <w:sz w:val="24"/>
          <w:szCs w:val="24"/>
        </w:rPr>
        <w:t>setzt.“ (15)</w:t>
      </w:r>
      <w:r>
        <w:rPr>
          <w:rFonts w:ascii="Arial" w:hAnsi="Arial" w:cs="Arial"/>
          <w:i/>
          <w:sz w:val="24"/>
          <w:szCs w:val="24"/>
        </w:rPr>
        <w:t xml:space="preserve"> </w:t>
      </w:r>
    </w:p>
    <w:p w:rsidR="007531A5" w:rsidRDefault="007531A5" w:rsidP="007531A5">
      <w:pPr>
        <w:pStyle w:val="Aufzhlungszeichen"/>
        <w:numPr>
          <w:ilvl w:val="0"/>
          <w:numId w:val="0"/>
        </w:numPr>
        <w:spacing w:line="240" w:lineRule="auto"/>
        <w:ind w:left="360" w:hanging="360"/>
        <w:jc w:val="both"/>
        <w:rPr>
          <w:rFonts w:ascii="Arial" w:hAnsi="Arial" w:cs="Arial"/>
          <w:sz w:val="24"/>
          <w:szCs w:val="24"/>
        </w:rPr>
      </w:pPr>
    </w:p>
    <w:p w:rsidR="006230B2" w:rsidRPr="006A219C" w:rsidRDefault="007531A5" w:rsidP="00675DFA">
      <w:pPr>
        <w:pStyle w:val="Aufzhlungszeichen"/>
        <w:numPr>
          <w:ilvl w:val="0"/>
          <w:numId w:val="0"/>
        </w:numPr>
        <w:spacing w:line="360" w:lineRule="auto"/>
        <w:jc w:val="both"/>
        <w:rPr>
          <w:rFonts w:ascii="Arial" w:hAnsi="Arial" w:cs="Arial"/>
          <w:sz w:val="24"/>
          <w:szCs w:val="24"/>
        </w:rPr>
      </w:pPr>
      <w:r>
        <w:rPr>
          <w:rFonts w:ascii="Arial" w:hAnsi="Arial" w:cs="Arial"/>
          <w:sz w:val="24"/>
          <w:szCs w:val="24"/>
        </w:rPr>
        <w:t>Umstritten ist in diesem Zusammenhang die Rechtmäßigkeit der Mitwirkung von Mönchen an kriegerischen Handlungen</w:t>
      </w:r>
      <w:r w:rsidR="001E41A0">
        <w:rPr>
          <w:rFonts w:ascii="Arial" w:hAnsi="Arial" w:cs="Arial"/>
          <w:sz w:val="24"/>
          <w:szCs w:val="24"/>
        </w:rPr>
        <w:t>, d</w:t>
      </w:r>
      <w:r w:rsidR="00B4781A">
        <w:rPr>
          <w:rFonts w:ascii="Arial" w:hAnsi="Arial" w:cs="Arial"/>
          <w:sz w:val="24"/>
          <w:szCs w:val="24"/>
        </w:rPr>
        <w:t>eren Realität</w:t>
      </w:r>
      <w:r w:rsidR="001E41A0">
        <w:rPr>
          <w:rFonts w:ascii="Arial" w:hAnsi="Arial" w:cs="Arial"/>
          <w:sz w:val="24"/>
          <w:szCs w:val="24"/>
        </w:rPr>
        <w:t xml:space="preserve"> </w:t>
      </w:r>
      <w:r w:rsidR="004C3EE0">
        <w:rPr>
          <w:rFonts w:ascii="Arial" w:hAnsi="Arial" w:cs="Arial"/>
          <w:sz w:val="24"/>
          <w:szCs w:val="24"/>
        </w:rPr>
        <w:t xml:space="preserve">aber seit langem </w:t>
      </w:r>
      <w:r w:rsidR="001E41A0">
        <w:rPr>
          <w:rFonts w:ascii="Arial" w:hAnsi="Arial" w:cs="Arial"/>
          <w:sz w:val="24"/>
          <w:szCs w:val="24"/>
        </w:rPr>
        <w:t>von Sri La</w:t>
      </w:r>
      <w:r w:rsidR="001E41A0">
        <w:rPr>
          <w:rFonts w:ascii="Arial" w:hAnsi="Arial" w:cs="Arial"/>
          <w:sz w:val="24"/>
          <w:szCs w:val="24"/>
        </w:rPr>
        <w:t>n</w:t>
      </w:r>
      <w:r w:rsidR="001E41A0">
        <w:rPr>
          <w:rFonts w:ascii="Arial" w:hAnsi="Arial" w:cs="Arial"/>
          <w:sz w:val="24"/>
          <w:szCs w:val="24"/>
        </w:rPr>
        <w:lastRenderedPageBreak/>
        <w:t xml:space="preserve">ka bis China und Japan </w:t>
      </w:r>
      <w:r w:rsidR="00B4781A">
        <w:rPr>
          <w:rFonts w:ascii="Arial" w:hAnsi="Arial" w:cs="Arial"/>
          <w:sz w:val="24"/>
          <w:szCs w:val="24"/>
        </w:rPr>
        <w:t xml:space="preserve">historisch </w:t>
      </w:r>
      <w:r w:rsidR="001E41A0">
        <w:rPr>
          <w:rFonts w:ascii="Arial" w:hAnsi="Arial" w:cs="Arial"/>
          <w:sz w:val="24"/>
          <w:szCs w:val="24"/>
        </w:rPr>
        <w:t xml:space="preserve">hinreichend belegt </w:t>
      </w:r>
      <w:r w:rsidR="00B4781A">
        <w:rPr>
          <w:rFonts w:ascii="Arial" w:hAnsi="Arial" w:cs="Arial"/>
          <w:sz w:val="24"/>
          <w:szCs w:val="24"/>
        </w:rPr>
        <w:t>ist</w:t>
      </w:r>
      <w:r w:rsidR="00585EC6">
        <w:rPr>
          <w:rStyle w:val="Funotenzeichen"/>
          <w:rFonts w:ascii="Arial" w:hAnsi="Arial" w:cs="Arial"/>
          <w:sz w:val="24"/>
          <w:szCs w:val="24"/>
        </w:rPr>
        <w:footnoteReference w:id="13"/>
      </w:r>
      <w:r w:rsidR="001E41A0">
        <w:rPr>
          <w:rFonts w:ascii="Arial" w:hAnsi="Arial" w:cs="Arial"/>
          <w:sz w:val="24"/>
          <w:szCs w:val="24"/>
        </w:rPr>
        <w:t xml:space="preserve">. </w:t>
      </w:r>
      <w:r w:rsidR="00C51363">
        <w:rPr>
          <w:rFonts w:ascii="Arial" w:hAnsi="Arial" w:cs="Arial"/>
          <w:sz w:val="24"/>
          <w:szCs w:val="24"/>
        </w:rPr>
        <w:t xml:space="preserve">Sowohl im Chinesischen wie im Japanischen gibt es den Begriff </w:t>
      </w:r>
      <w:r w:rsidR="00A44133">
        <w:rPr>
          <w:rFonts w:ascii="Arial" w:hAnsi="Arial" w:cs="Arial"/>
          <w:sz w:val="24"/>
          <w:szCs w:val="24"/>
        </w:rPr>
        <w:t xml:space="preserve">des </w:t>
      </w:r>
      <w:r w:rsidR="00C51363">
        <w:rPr>
          <w:rFonts w:ascii="Arial" w:hAnsi="Arial" w:cs="Arial"/>
          <w:sz w:val="24"/>
          <w:szCs w:val="24"/>
        </w:rPr>
        <w:t>„Mönchsoldat</w:t>
      </w:r>
      <w:r w:rsidR="00A44133">
        <w:rPr>
          <w:rFonts w:ascii="Arial" w:hAnsi="Arial" w:cs="Arial"/>
          <w:sz w:val="24"/>
          <w:szCs w:val="24"/>
        </w:rPr>
        <w:t>en</w:t>
      </w:r>
      <w:r w:rsidR="00C51363">
        <w:rPr>
          <w:rFonts w:ascii="Arial" w:hAnsi="Arial" w:cs="Arial"/>
          <w:sz w:val="24"/>
          <w:szCs w:val="24"/>
        </w:rPr>
        <w:t>“ oder „Mönchskrieger</w:t>
      </w:r>
      <w:r w:rsidR="00A44133">
        <w:rPr>
          <w:rFonts w:ascii="Arial" w:hAnsi="Arial" w:cs="Arial"/>
          <w:sz w:val="24"/>
          <w:szCs w:val="24"/>
        </w:rPr>
        <w:t>s</w:t>
      </w:r>
      <w:r w:rsidR="00C51363">
        <w:rPr>
          <w:rFonts w:ascii="Arial" w:hAnsi="Arial" w:cs="Arial"/>
          <w:sz w:val="24"/>
          <w:szCs w:val="24"/>
        </w:rPr>
        <w:t>“, mit de</w:t>
      </w:r>
      <w:r w:rsidR="00585EC6">
        <w:rPr>
          <w:rFonts w:ascii="Arial" w:hAnsi="Arial" w:cs="Arial"/>
          <w:sz w:val="24"/>
          <w:szCs w:val="24"/>
        </w:rPr>
        <w:t>n</w:t>
      </w:r>
      <w:r w:rsidR="00C51363">
        <w:rPr>
          <w:rFonts w:ascii="Arial" w:hAnsi="Arial" w:cs="Arial"/>
          <w:sz w:val="24"/>
          <w:szCs w:val="24"/>
        </w:rPr>
        <w:t xml:space="preserve">selben Zeichen geschrieben, chinesisch: </w:t>
      </w:r>
      <w:proofErr w:type="spellStart"/>
      <w:r w:rsidR="00C51363">
        <w:rPr>
          <w:rFonts w:ascii="Arial" w:hAnsi="Arial" w:cs="Arial"/>
          <w:i/>
          <w:sz w:val="24"/>
          <w:szCs w:val="24"/>
        </w:rPr>
        <w:t>sengbing</w:t>
      </w:r>
      <w:proofErr w:type="spellEnd"/>
      <w:r w:rsidR="00C51363">
        <w:rPr>
          <w:rFonts w:ascii="Arial" w:hAnsi="Arial" w:cs="Arial"/>
          <w:i/>
          <w:sz w:val="24"/>
          <w:szCs w:val="24"/>
        </w:rPr>
        <w:t xml:space="preserve">, </w:t>
      </w:r>
      <w:r w:rsidR="00C51363">
        <w:rPr>
          <w:rFonts w:ascii="Arial" w:hAnsi="Arial" w:cs="Arial"/>
          <w:sz w:val="24"/>
          <w:szCs w:val="24"/>
        </w:rPr>
        <w:t xml:space="preserve">japanisch: </w:t>
      </w:r>
      <w:proofErr w:type="spellStart"/>
      <w:r w:rsidR="00A44133" w:rsidRPr="006A219C">
        <w:rPr>
          <w:rFonts w:ascii="Arial" w:hAnsi="Arial" w:cs="Arial"/>
          <w:sz w:val="24"/>
          <w:szCs w:val="24"/>
        </w:rPr>
        <w:t>sōhei</w:t>
      </w:r>
      <w:proofErr w:type="spellEnd"/>
      <w:r w:rsidR="00A44133">
        <w:rPr>
          <w:rFonts w:ascii="Arial" w:hAnsi="Arial" w:cs="Arial"/>
          <w:i/>
          <w:sz w:val="24"/>
          <w:szCs w:val="24"/>
        </w:rPr>
        <w:t xml:space="preserve">. </w:t>
      </w:r>
      <w:r w:rsidR="006A219C">
        <w:rPr>
          <w:rFonts w:ascii="Arial" w:hAnsi="Arial" w:cs="Arial"/>
          <w:sz w:val="24"/>
          <w:szCs w:val="24"/>
        </w:rPr>
        <w:t xml:space="preserve">Bekannt ist auch in unseren Breiten die in China und Japan entwickelte Kampfkunst. .Ausgangspunkt in China ist der bis in die Ming-Zeit (….) zurückreichende Shaolin-Tempel. </w:t>
      </w:r>
      <w:proofErr w:type="spellStart"/>
      <w:r w:rsidR="006A219C">
        <w:rPr>
          <w:rFonts w:ascii="Arial" w:hAnsi="Arial" w:cs="Arial"/>
          <w:sz w:val="24"/>
          <w:szCs w:val="24"/>
        </w:rPr>
        <w:t>sportis</w:t>
      </w:r>
      <w:proofErr w:type="spellEnd"/>
      <w:r w:rsidR="006A219C">
        <w:rPr>
          <w:rFonts w:ascii="Arial" w:hAnsi="Arial" w:cs="Arial"/>
          <w:sz w:val="24"/>
          <w:szCs w:val="24"/>
        </w:rPr>
        <w:t xml:space="preserve"> zu uns haben die Übungen des Kampfsports  Bekannt ist die Ei</w:t>
      </w:r>
      <w:r w:rsidR="006A219C">
        <w:rPr>
          <w:rFonts w:ascii="Arial" w:hAnsi="Arial" w:cs="Arial"/>
          <w:sz w:val="24"/>
          <w:szCs w:val="24"/>
        </w:rPr>
        <w:t>n</w:t>
      </w:r>
      <w:r w:rsidR="006A219C">
        <w:rPr>
          <w:rFonts w:ascii="Arial" w:hAnsi="Arial" w:cs="Arial"/>
          <w:sz w:val="24"/>
          <w:szCs w:val="24"/>
        </w:rPr>
        <w:t>übung</w:t>
      </w:r>
    </w:p>
    <w:p w:rsidR="006230B2" w:rsidRDefault="006230B2" w:rsidP="00675DFA">
      <w:pPr>
        <w:pStyle w:val="Aufzhlungszeichen"/>
        <w:numPr>
          <w:ilvl w:val="0"/>
          <w:numId w:val="0"/>
        </w:numPr>
        <w:spacing w:line="360" w:lineRule="auto"/>
        <w:jc w:val="both"/>
        <w:rPr>
          <w:rFonts w:ascii="Arial" w:hAnsi="Arial" w:cs="Arial"/>
          <w:sz w:val="24"/>
          <w:szCs w:val="24"/>
        </w:rPr>
      </w:pPr>
    </w:p>
    <w:p w:rsidR="006230B2" w:rsidRDefault="006230B2" w:rsidP="00675DFA">
      <w:pPr>
        <w:pStyle w:val="Aufzhlungszeichen"/>
        <w:numPr>
          <w:ilvl w:val="0"/>
          <w:numId w:val="0"/>
        </w:numPr>
        <w:spacing w:line="360" w:lineRule="auto"/>
        <w:jc w:val="both"/>
        <w:rPr>
          <w:rFonts w:ascii="Arial" w:hAnsi="Arial" w:cs="Arial"/>
          <w:sz w:val="24"/>
          <w:szCs w:val="24"/>
        </w:rPr>
      </w:pPr>
    </w:p>
    <w:p w:rsidR="006230B2" w:rsidRDefault="006230B2" w:rsidP="00675DFA">
      <w:pPr>
        <w:pStyle w:val="Aufzhlungszeichen"/>
        <w:numPr>
          <w:ilvl w:val="0"/>
          <w:numId w:val="0"/>
        </w:numPr>
        <w:spacing w:line="360" w:lineRule="auto"/>
        <w:jc w:val="both"/>
        <w:rPr>
          <w:rFonts w:ascii="Arial" w:hAnsi="Arial" w:cs="Arial"/>
          <w:sz w:val="24"/>
          <w:szCs w:val="24"/>
        </w:rPr>
      </w:pPr>
    </w:p>
    <w:p w:rsidR="006230B2" w:rsidRDefault="006230B2" w:rsidP="00675DFA">
      <w:pPr>
        <w:pStyle w:val="Aufzhlungszeichen"/>
        <w:numPr>
          <w:ilvl w:val="0"/>
          <w:numId w:val="0"/>
        </w:numPr>
        <w:spacing w:line="360" w:lineRule="auto"/>
        <w:jc w:val="both"/>
        <w:rPr>
          <w:rFonts w:ascii="Arial" w:hAnsi="Arial" w:cs="Arial"/>
          <w:sz w:val="24"/>
          <w:szCs w:val="24"/>
        </w:rPr>
      </w:pPr>
    </w:p>
    <w:p w:rsidR="006230B2" w:rsidRDefault="006230B2" w:rsidP="00675DFA">
      <w:pPr>
        <w:pStyle w:val="Aufzhlungszeichen"/>
        <w:numPr>
          <w:ilvl w:val="0"/>
          <w:numId w:val="0"/>
        </w:numPr>
        <w:spacing w:line="360" w:lineRule="auto"/>
        <w:jc w:val="both"/>
        <w:rPr>
          <w:rFonts w:ascii="Arial" w:hAnsi="Arial" w:cs="Arial"/>
          <w:sz w:val="24"/>
          <w:szCs w:val="24"/>
        </w:rPr>
      </w:pPr>
    </w:p>
    <w:p w:rsidR="006230B2" w:rsidRDefault="006230B2" w:rsidP="00675DFA">
      <w:pPr>
        <w:pStyle w:val="Aufzhlungszeichen"/>
        <w:numPr>
          <w:ilvl w:val="0"/>
          <w:numId w:val="0"/>
        </w:numPr>
        <w:spacing w:line="360" w:lineRule="auto"/>
        <w:jc w:val="both"/>
        <w:rPr>
          <w:rFonts w:ascii="Arial" w:hAnsi="Arial" w:cs="Arial"/>
          <w:sz w:val="24"/>
          <w:szCs w:val="24"/>
        </w:rPr>
      </w:pPr>
    </w:p>
    <w:p w:rsidR="00F376E0" w:rsidRPr="00675DFA" w:rsidRDefault="00F50F6E" w:rsidP="00675DFA">
      <w:pPr>
        <w:pStyle w:val="Aufzhlungszeichen"/>
        <w:numPr>
          <w:ilvl w:val="0"/>
          <w:numId w:val="0"/>
        </w:numPr>
        <w:spacing w:line="360" w:lineRule="auto"/>
        <w:jc w:val="both"/>
        <w:rPr>
          <w:rFonts w:ascii="Arial" w:hAnsi="Arial" w:cs="Arial"/>
          <w:sz w:val="24"/>
          <w:szCs w:val="24"/>
          <w:u w:val="single"/>
        </w:rPr>
      </w:pPr>
      <w:r w:rsidRPr="00675DFA">
        <w:rPr>
          <w:rFonts w:ascii="Arial" w:hAnsi="Arial" w:cs="Arial"/>
          <w:vanish/>
          <w:sz w:val="24"/>
          <w:szCs w:val="24"/>
        </w:rPr>
        <w:t>eH</w:t>
      </w:r>
    </w:p>
    <w:sectPr w:rsidR="00F376E0" w:rsidRPr="00675D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25" w:rsidRDefault="00170725" w:rsidP="00F155B2">
      <w:pPr>
        <w:spacing w:after="0" w:line="240" w:lineRule="auto"/>
      </w:pPr>
      <w:r>
        <w:separator/>
      </w:r>
    </w:p>
  </w:endnote>
  <w:endnote w:type="continuationSeparator" w:id="0">
    <w:p w:rsidR="00170725" w:rsidRDefault="00170725" w:rsidP="00F1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1" w:rsidRDefault="008807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1" w:rsidRDefault="008807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1" w:rsidRDefault="008807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25" w:rsidRDefault="00170725" w:rsidP="00F155B2">
      <w:pPr>
        <w:spacing w:after="0" w:line="240" w:lineRule="auto"/>
      </w:pPr>
      <w:r>
        <w:separator/>
      </w:r>
    </w:p>
  </w:footnote>
  <w:footnote w:type="continuationSeparator" w:id="0">
    <w:p w:rsidR="00170725" w:rsidRDefault="00170725" w:rsidP="00F155B2">
      <w:pPr>
        <w:spacing w:after="0" w:line="240" w:lineRule="auto"/>
      </w:pPr>
      <w:r>
        <w:continuationSeparator/>
      </w:r>
    </w:p>
  </w:footnote>
  <w:footnote w:id="1">
    <w:p w:rsidR="008807A1" w:rsidRPr="00F155B2" w:rsidRDefault="008807A1" w:rsidP="00F155B2">
      <w:pPr>
        <w:pStyle w:val="Funotentext"/>
        <w:jc w:val="both"/>
        <w:rPr>
          <w:rFonts w:ascii="Arial" w:hAnsi="Arial" w:cs="Arial"/>
          <w:i/>
        </w:rPr>
      </w:pPr>
      <w:r>
        <w:rPr>
          <w:rStyle w:val="Funotenzeichen"/>
        </w:rPr>
        <w:footnoteRef/>
      </w:r>
      <w:r>
        <w:t xml:space="preserve"> </w:t>
      </w:r>
      <w:r>
        <w:rPr>
          <w:rFonts w:ascii="Arial" w:hAnsi="Arial" w:cs="Arial"/>
        </w:rPr>
        <w:t xml:space="preserve">Vgl. </w:t>
      </w:r>
      <w:r>
        <w:rPr>
          <w:rFonts w:ascii="Arial" w:hAnsi="Arial" w:cs="Arial"/>
          <w:i/>
        </w:rPr>
        <w:t xml:space="preserve">F. </w:t>
      </w:r>
      <w:proofErr w:type="spellStart"/>
      <w:r>
        <w:rPr>
          <w:rFonts w:ascii="Arial" w:hAnsi="Arial" w:cs="Arial"/>
          <w:i/>
        </w:rPr>
        <w:t>Buggle</w:t>
      </w:r>
      <w:proofErr w:type="spellEnd"/>
      <w:r>
        <w:rPr>
          <w:rFonts w:ascii="Arial" w:hAnsi="Arial" w:cs="Arial"/>
          <w:i/>
        </w:rPr>
        <w:t xml:space="preserve">, </w:t>
      </w:r>
      <w:r>
        <w:rPr>
          <w:rFonts w:ascii="Arial" w:hAnsi="Arial" w:cs="Arial"/>
        </w:rPr>
        <w:t>Denn sie wissen nicht, was sie glauben. Oder warum man redlicherweise nicht mehr Christ sein kann. Eine Streitschrift. Reinbek 1992.</w:t>
      </w:r>
      <w:r>
        <w:rPr>
          <w:rFonts w:ascii="Arial" w:hAnsi="Arial" w:cs="Arial"/>
          <w:i/>
        </w:rPr>
        <w:t xml:space="preserve"> </w:t>
      </w:r>
    </w:p>
  </w:footnote>
  <w:footnote w:id="2">
    <w:p w:rsidR="008807A1" w:rsidRPr="00013C05" w:rsidRDefault="008807A1" w:rsidP="00013C05">
      <w:pPr>
        <w:pStyle w:val="Funotentext"/>
        <w:jc w:val="both"/>
        <w:rPr>
          <w:rFonts w:ascii="Arial" w:hAnsi="Arial" w:cs="Arial"/>
        </w:rPr>
      </w:pPr>
      <w:r>
        <w:rPr>
          <w:rStyle w:val="Funotenzeichen"/>
        </w:rPr>
        <w:footnoteRef/>
      </w:r>
      <w:r>
        <w:t xml:space="preserve"> </w:t>
      </w:r>
      <w:r>
        <w:rPr>
          <w:rFonts w:ascii="Arial" w:hAnsi="Arial" w:cs="Arial"/>
        </w:rPr>
        <w:t xml:space="preserve">Vgl. </w:t>
      </w:r>
      <w:r>
        <w:rPr>
          <w:rFonts w:ascii="Arial" w:hAnsi="Arial" w:cs="Arial"/>
          <w:i/>
        </w:rPr>
        <w:t xml:space="preserve">G. </w:t>
      </w:r>
      <w:proofErr w:type="spellStart"/>
      <w:r>
        <w:rPr>
          <w:rFonts w:ascii="Arial" w:hAnsi="Arial" w:cs="Arial"/>
          <w:i/>
        </w:rPr>
        <w:t>Baudler</w:t>
      </w:r>
      <w:proofErr w:type="spellEnd"/>
      <w:r>
        <w:rPr>
          <w:rFonts w:ascii="Arial" w:hAnsi="Arial" w:cs="Arial"/>
          <w:i/>
        </w:rPr>
        <w:t xml:space="preserve">, </w:t>
      </w:r>
      <w:r>
        <w:rPr>
          <w:rFonts w:ascii="Arial" w:hAnsi="Arial" w:cs="Arial"/>
        </w:rPr>
        <w:t>Töten oder Lieben. Gewalt und Gewaltlosigkeit in Religion und Christentum. Mü</w:t>
      </w:r>
      <w:r>
        <w:rPr>
          <w:rFonts w:ascii="Arial" w:hAnsi="Arial" w:cs="Arial"/>
        </w:rPr>
        <w:t>n</w:t>
      </w:r>
      <w:r>
        <w:rPr>
          <w:rFonts w:ascii="Arial" w:hAnsi="Arial" w:cs="Arial"/>
        </w:rPr>
        <w:t>chen 1994.</w:t>
      </w:r>
    </w:p>
  </w:footnote>
  <w:footnote w:id="3">
    <w:p w:rsidR="008807A1" w:rsidRPr="00B10735" w:rsidRDefault="008807A1" w:rsidP="00B10735">
      <w:pPr>
        <w:pStyle w:val="Funotentext"/>
        <w:jc w:val="both"/>
        <w:rPr>
          <w:rFonts w:ascii="Arial" w:hAnsi="Arial" w:cs="Arial"/>
          <w:i/>
        </w:rPr>
      </w:pPr>
      <w:r>
        <w:rPr>
          <w:rStyle w:val="Funotenzeichen"/>
        </w:rPr>
        <w:footnoteRef/>
      </w:r>
      <w:r>
        <w:t xml:space="preserve">  </w:t>
      </w:r>
      <w:r>
        <w:rPr>
          <w:rFonts w:ascii="Arial" w:hAnsi="Arial" w:cs="Arial"/>
        </w:rPr>
        <w:t xml:space="preserve">Vgl. </w:t>
      </w:r>
      <w:r>
        <w:rPr>
          <w:rFonts w:ascii="Arial" w:hAnsi="Arial" w:cs="Arial"/>
          <w:i/>
        </w:rPr>
        <w:t xml:space="preserve">J. Assmann, </w:t>
      </w:r>
      <w:r>
        <w:rPr>
          <w:rFonts w:ascii="Arial" w:hAnsi="Arial" w:cs="Arial"/>
        </w:rPr>
        <w:t xml:space="preserve">Moses der Ägypter. Entzifferung einer Gedächtnisspur. München – Wien 1998; dazu </w:t>
      </w:r>
      <w:r>
        <w:rPr>
          <w:rFonts w:ascii="Arial" w:hAnsi="Arial" w:cs="Arial"/>
          <w:i/>
        </w:rPr>
        <w:t xml:space="preserve">H. Waldenfels, </w:t>
      </w:r>
      <w:r>
        <w:rPr>
          <w:rFonts w:ascii="Arial" w:hAnsi="Arial" w:cs="Arial"/>
        </w:rPr>
        <w:t xml:space="preserve">Die mosaische Unterscheidung, in </w:t>
      </w:r>
      <w:r>
        <w:rPr>
          <w:rFonts w:ascii="Arial" w:hAnsi="Arial" w:cs="Arial"/>
          <w:i/>
        </w:rPr>
        <w:t xml:space="preserve">G. M. Hoff </w:t>
      </w:r>
      <w:r>
        <w:rPr>
          <w:rFonts w:ascii="Arial" w:hAnsi="Arial" w:cs="Arial"/>
        </w:rPr>
        <w:t>(</w:t>
      </w:r>
      <w:proofErr w:type="spellStart"/>
      <w:r>
        <w:rPr>
          <w:rFonts w:ascii="Arial" w:hAnsi="Arial" w:cs="Arial"/>
        </w:rPr>
        <w:t>Hg</w:t>
      </w:r>
      <w:proofErr w:type="spellEnd"/>
      <w:r>
        <w:rPr>
          <w:rFonts w:ascii="Arial" w:hAnsi="Arial" w:cs="Arial"/>
        </w:rPr>
        <w:t>.), Auf Erkundung. Theolog</w:t>
      </w:r>
      <w:r>
        <w:rPr>
          <w:rFonts w:ascii="Arial" w:hAnsi="Arial" w:cs="Arial"/>
        </w:rPr>
        <w:t>i</w:t>
      </w:r>
      <w:r>
        <w:rPr>
          <w:rFonts w:ascii="Arial" w:hAnsi="Arial" w:cs="Arial"/>
        </w:rPr>
        <w:t>sche Lesereisen durch fremde Bücherwelten. Mainz 2005, 185-203.</w:t>
      </w:r>
      <w:r>
        <w:rPr>
          <w:rFonts w:ascii="Arial" w:hAnsi="Arial" w:cs="Arial"/>
          <w:i/>
        </w:rPr>
        <w:t xml:space="preserve"> </w:t>
      </w:r>
    </w:p>
  </w:footnote>
  <w:footnote w:id="4">
    <w:p w:rsidR="008807A1" w:rsidRPr="00F74689" w:rsidRDefault="008807A1" w:rsidP="00F74689">
      <w:pPr>
        <w:pStyle w:val="Aufzhlungszeichen"/>
        <w:numPr>
          <w:ilvl w:val="0"/>
          <w:numId w:val="0"/>
        </w:numPr>
        <w:spacing w:after="0"/>
        <w:ind w:left="360" w:hanging="360"/>
        <w:jc w:val="both"/>
        <w:rPr>
          <w:rFonts w:ascii="Arial" w:hAnsi="Arial" w:cs="Arial"/>
          <w:sz w:val="20"/>
          <w:szCs w:val="20"/>
        </w:rPr>
      </w:pPr>
      <w:r w:rsidRPr="00F74689">
        <w:rPr>
          <w:rStyle w:val="Funotenzeichen"/>
          <w:rFonts w:ascii="Arial" w:hAnsi="Arial" w:cs="Arial"/>
          <w:sz w:val="20"/>
          <w:szCs w:val="20"/>
        </w:rPr>
        <w:footnoteRef/>
      </w:r>
      <w:r w:rsidRPr="00F74689">
        <w:rPr>
          <w:rFonts w:ascii="Arial" w:hAnsi="Arial" w:cs="Arial"/>
          <w:sz w:val="20"/>
          <w:szCs w:val="20"/>
        </w:rPr>
        <w:t xml:space="preserve">   Vgl. Art. Hinduismus Hindu-Religionen (</w:t>
      </w:r>
      <w:r w:rsidRPr="00F74689">
        <w:rPr>
          <w:rFonts w:ascii="Arial" w:hAnsi="Arial" w:cs="Arial"/>
          <w:i/>
          <w:sz w:val="20"/>
          <w:szCs w:val="20"/>
        </w:rPr>
        <w:t xml:space="preserve">H. </w:t>
      </w:r>
      <w:proofErr w:type="spellStart"/>
      <w:r w:rsidRPr="00F74689">
        <w:rPr>
          <w:rFonts w:ascii="Arial" w:hAnsi="Arial" w:cs="Arial"/>
          <w:i/>
          <w:sz w:val="20"/>
          <w:szCs w:val="20"/>
        </w:rPr>
        <w:t>v.Stietencron</w:t>
      </w:r>
      <w:proofErr w:type="spellEnd"/>
      <w:r w:rsidRPr="00F74689">
        <w:rPr>
          <w:rFonts w:ascii="Arial" w:hAnsi="Arial" w:cs="Arial"/>
          <w:sz w:val="20"/>
          <w:szCs w:val="20"/>
        </w:rPr>
        <w:t xml:space="preserve">), in </w:t>
      </w:r>
      <w:proofErr w:type="spellStart"/>
      <w:r w:rsidRPr="00F74689">
        <w:rPr>
          <w:rFonts w:ascii="Arial" w:hAnsi="Arial" w:cs="Arial"/>
          <w:sz w:val="20"/>
          <w:szCs w:val="20"/>
        </w:rPr>
        <w:t>LRel</w:t>
      </w:r>
      <w:proofErr w:type="spellEnd"/>
      <w:r w:rsidRPr="00F74689">
        <w:rPr>
          <w:rFonts w:ascii="Arial" w:hAnsi="Arial" w:cs="Arial"/>
          <w:sz w:val="20"/>
          <w:szCs w:val="20"/>
        </w:rPr>
        <w:t xml:space="preserve"> 288-</w:t>
      </w:r>
      <w:r>
        <w:rPr>
          <w:rFonts w:ascii="Arial" w:hAnsi="Arial" w:cs="Arial"/>
          <w:sz w:val="20"/>
          <w:szCs w:val="20"/>
        </w:rPr>
        <w:t>296.</w:t>
      </w:r>
    </w:p>
  </w:footnote>
  <w:footnote w:id="5">
    <w:p w:rsidR="008807A1" w:rsidRPr="001F00D2" w:rsidRDefault="008807A1" w:rsidP="0000120A">
      <w:pPr>
        <w:pStyle w:val="Funotentext"/>
        <w:jc w:val="both"/>
        <w:rPr>
          <w:rFonts w:ascii="Arial" w:hAnsi="Arial" w:cs="Arial"/>
        </w:rPr>
      </w:pPr>
      <w:r>
        <w:rPr>
          <w:rStyle w:val="Funotenzeichen"/>
        </w:rPr>
        <w:footnoteRef/>
      </w:r>
      <w:r>
        <w:t xml:space="preserve"> </w:t>
      </w:r>
      <w:r>
        <w:rPr>
          <w:rFonts w:ascii="Arial" w:hAnsi="Arial" w:cs="Arial"/>
        </w:rPr>
        <w:t xml:space="preserve"> Ich verzichte darauf, ausführlicher auf die  Bestimmung von „Religion“ einzugehen und sehe in den Religionen im Sinne des verbreiteten Vulgärverständnisses weltanschauliche Sinngebungssysteme und –</w:t>
      </w:r>
      <w:proofErr w:type="spellStart"/>
      <w:r>
        <w:rPr>
          <w:rFonts w:ascii="Arial" w:hAnsi="Arial" w:cs="Arial"/>
        </w:rPr>
        <w:t>organisationen</w:t>
      </w:r>
      <w:proofErr w:type="spellEnd"/>
      <w:r>
        <w:rPr>
          <w:rFonts w:ascii="Arial" w:hAnsi="Arial" w:cs="Arial"/>
        </w:rPr>
        <w:t xml:space="preserve"> vgl. zum Thema </w:t>
      </w:r>
      <w:r>
        <w:rPr>
          <w:rFonts w:ascii="Arial" w:hAnsi="Arial" w:cs="Arial"/>
          <w:i/>
        </w:rPr>
        <w:t xml:space="preserve">H. Waldenfels, </w:t>
      </w:r>
      <w:r>
        <w:rPr>
          <w:rFonts w:ascii="Arial" w:hAnsi="Arial" w:cs="Arial"/>
        </w:rPr>
        <w:t xml:space="preserve">Kontextuelle Fundamentaltheologie. Paderborn </w:t>
      </w:r>
      <w:r>
        <w:rPr>
          <w:rFonts w:ascii="Arial" w:hAnsi="Arial" w:cs="Arial"/>
          <w:vertAlign w:val="superscript"/>
        </w:rPr>
        <w:t>4</w:t>
      </w:r>
      <w:r>
        <w:rPr>
          <w:rFonts w:ascii="Arial" w:hAnsi="Arial" w:cs="Arial"/>
        </w:rPr>
        <w:t>2005, …</w:t>
      </w:r>
    </w:p>
  </w:footnote>
  <w:footnote w:id="6">
    <w:p w:rsidR="008807A1" w:rsidRPr="00EC586C" w:rsidRDefault="008807A1" w:rsidP="00EC586C">
      <w:pPr>
        <w:pStyle w:val="Funotentext"/>
        <w:jc w:val="both"/>
        <w:rPr>
          <w:rFonts w:ascii="Arial" w:hAnsi="Arial" w:cs="Arial"/>
        </w:rPr>
      </w:pPr>
      <w:r>
        <w:rPr>
          <w:rStyle w:val="Funotenzeichen"/>
        </w:rPr>
        <w:footnoteRef/>
      </w:r>
      <w:r>
        <w:t xml:space="preserve">  </w:t>
      </w:r>
      <w:r>
        <w:rPr>
          <w:rFonts w:ascii="Arial" w:hAnsi="Arial" w:cs="Arial"/>
        </w:rPr>
        <w:t xml:space="preserve">Vgl. </w:t>
      </w:r>
      <w:r>
        <w:rPr>
          <w:rFonts w:ascii="Arial" w:hAnsi="Arial" w:cs="Arial"/>
          <w:i/>
        </w:rPr>
        <w:t>B. (</w:t>
      </w:r>
      <w:proofErr w:type="spellStart"/>
      <w:r>
        <w:rPr>
          <w:rFonts w:ascii="Arial" w:hAnsi="Arial" w:cs="Arial"/>
          <w:i/>
        </w:rPr>
        <w:t>Daizen</w:t>
      </w:r>
      <w:proofErr w:type="spellEnd"/>
      <w:r>
        <w:rPr>
          <w:rFonts w:ascii="Arial" w:hAnsi="Arial" w:cs="Arial"/>
          <w:i/>
        </w:rPr>
        <w:t xml:space="preserve">) A. Victoria, </w:t>
      </w:r>
      <w:r>
        <w:rPr>
          <w:rFonts w:ascii="Arial" w:hAnsi="Arial" w:cs="Arial"/>
        </w:rPr>
        <w:t xml:space="preserve">Zen, Nationalismus und Krieg. Eine unheimliche Allianz. Berlin 1999. </w:t>
      </w:r>
    </w:p>
  </w:footnote>
  <w:footnote w:id="7">
    <w:p w:rsidR="008807A1" w:rsidRPr="00D436A0" w:rsidRDefault="008807A1" w:rsidP="00D436A0">
      <w:pPr>
        <w:pStyle w:val="Funotentext"/>
        <w:jc w:val="both"/>
        <w:rPr>
          <w:rFonts w:ascii="Arial" w:hAnsi="Arial" w:cs="Arial"/>
        </w:rPr>
      </w:pPr>
      <w:r>
        <w:rPr>
          <w:rStyle w:val="Funotenzeichen"/>
        </w:rPr>
        <w:footnoteRef/>
      </w:r>
      <w:r w:rsidRPr="00D436A0">
        <w:t xml:space="preserve"> </w:t>
      </w:r>
      <w:r w:rsidRPr="00D436A0">
        <w:rPr>
          <w:rFonts w:ascii="Arial" w:hAnsi="Arial" w:cs="Arial"/>
        </w:rPr>
        <w:t xml:space="preserve"> Vgl. </w:t>
      </w:r>
      <w:r w:rsidRPr="00D436A0">
        <w:rPr>
          <w:rFonts w:ascii="Arial" w:hAnsi="Arial" w:cs="Arial"/>
          <w:i/>
        </w:rPr>
        <w:t xml:space="preserve">V.u. V. </w:t>
      </w:r>
      <w:proofErr w:type="spellStart"/>
      <w:r w:rsidRPr="00D436A0">
        <w:rPr>
          <w:rFonts w:ascii="Arial" w:hAnsi="Arial" w:cs="Arial"/>
          <w:i/>
        </w:rPr>
        <w:t>Trimondi</w:t>
      </w:r>
      <w:proofErr w:type="spellEnd"/>
      <w:r w:rsidRPr="00D436A0">
        <w:rPr>
          <w:rFonts w:ascii="Arial" w:hAnsi="Arial" w:cs="Arial"/>
          <w:i/>
        </w:rPr>
        <w:t xml:space="preserve">, </w:t>
      </w:r>
      <w:r>
        <w:rPr>
          <w:rFonts w:ascii="Arial" w:hAnsi="Arial" w:cs="Arial"/>
        </w:rPr>
        <w:t>Der</w:t>
      </w:r>
      <w:r w:rsidRPr="00D436A0">
        <w:rPr>
          <w:rFonts w:ascii="Arial" w:hAnsi="Arial" w:cs="Arial"/>
        </w:rPr>
        <w:t xml:space="preserve"> Schatten des Dalai Lama. </w:t>
      </w:r>
      <w:r>
        <w:rPr>
          <w:rFonts w:ascii="Arial" w:hAnsi="Arial" w:cs="Arial"/>
        </w:rPr>
        <w:t xml:space="preserve">Sexualität, Magie und Politik im tibetischen Buddhismus. Düsseldorf 1999; </w:t>
      </w:r>
      <w:r w:rsidRPr="00210D74">
        <w:rPr>
          <w:rFonts w:ascii="Arial" w:hAnsi="Arial" w:cs="Arial"/>
          <w:i/>
        </w:rPr>
        <w:t>dies</w:t>
      </w:r>
      <w:r>
        <w:rPr>
          <w:rFonts w:ascii="Arial" w:hAnsi="Arial" w:cs="Arial"/>
        </w:rPr>
        <w:t>., Hitler- Buddha – Krishna. Eine unheilige Allianz vom Drit</w:t>
      </w:r>
      <w:r w:rsidR="001E41A0">
        <w:rPr>
          <w:rFonts w:ascii="Arial" w:hAnsi="Arial" w:cs="Arial"/>
        </w:rPr>
        <w:t>ten Reich bis heute. Wien 2002</w:t>
      </w:r>
      <w:r>
        <w:rPr>
          <w:rFonts w:ascii="Arial" w:hAnsi="Arial" w:cs="Arial"/>
        </w:rPr>
        <w:t xml:space="preserve">; dazu </w:t>
      </w:r>
      <w:r>
        <w:rPr>
          <w:rFonts w:ascii="Arial" w:hAnsi="Arial" w:cs="Arial"/>
          <w:i/>
        </w:rPr>
        <w:t xml:space="preserve">M. von Brück, </w:t>
      </w:r>
      <w:r w:rsidRPr="00D436A0">
        <w:rPr>
          <w:rFonts w:ascii="Arial" w:hAnsi="Arial" w:cs="Arial"/>
        </w:rPr>
        <w:t xml:space="preserve">Religion und Politik im tibetischen Buddhismus. </w:t>
      </w:r>
      <w:r>
        <w:rPr>
          <w:rFonts w:ascii="Arial" w:hAnsi="Arial" w:cs="Arial"/>
        </w:rPr>
        <w:t>Mü</w:t>
      </w:r>
      <w:r>
        <w:rPr>
          <w:rFonts w:ascii="Arial" w:hAnsi="Arial" w:cs="Arial"/>
        </w:rPr>
        <w:t>n</w:t>
      </w:r>
      <w:r>
        <w:rPr>
          <w:rFonts w:ascii="Arial" w:hAnsi="Arial" w:cs="Arial"/>
        </w:rPr>
        <w:t>chen 1999.</w:t>
      </w:r>
    </w:p>
  </w:footnote>
  <w:footnote w:id="8">
    <w:p w:rsidR="008807A1" w:rsidRPr="000C42ED" w:rsidRDefault="008807A1">
      <w:pPr>
        <w:pStyle w:val="Funotentext"/>
        <w:rPr>
          <w:rFonts w:ascii="Arial" w:hAnsi="Arial" w:cs="Arial"/>
        </w:rPr>
      </w:pPr>
      <w:r>
        <w:rPr>
          <w:rStyle w:val="Funotenzeichen"/>
        </w:rPr>
        <w:footnoteRef/>
      </w:r>
      <w:r>
        <w:t xml:space="preserve"> </w:t>
      </w:r>
      <w:r>
        <w:rPr>
          <w:rFonts w:ascii="Arial" w:hAnsi="Arial" w:cs="Arial"/>
        </w:rPr>
        <w:t xml:space="preserve"> Vgl. </w:t>
      </w:r>
      <w:proofErr w:type="spellStart"/>
      <w:r>
        <w:rPr>
          <w:rFonts w:ascii="Arial" w:hAnsi="Arial" w:cs="Arial"/>
          <w:i/>
        </w:rPr>
        <w:t>K.Natorp</w:t>
      </w:r>
      <w:proofErr w:type="spellEnd"/>
      <w:r>
        <w:rPr>
          <w:rFonts w:ascii="Arial" w:hAnsi="Arial" w:cs="Arial"/>
          <w:i/>
        </w:rPr>
        <w:t xml:space="preserve">, </w:t>
      </w:r>
      <w:r>
        <w:rPr>
          <w:rFonts w:ascii="Arial" w:hAnsi="Arial" w:cs="Arial"/>
        </w:rPr>
        <w:t>Da lacht der Lama, in F.A.Z. Nr. 221 vom 23.9.1999, 12.</w:t>
      </w:r>
    </w:p>
  </w:footnote>
  <w:footnote w:id="9">
    <w:p w:rsidR="008807A1" w:rsidRPr="00DE35EB" w:rsidRDefault="008807A1" w:rsidP="00FE1075">
      <w:pPr>
        <w:pStyle w:val="Funotentext"/>
        <w:jc w:val="both"/>
        <w:rPr>
          <w:rFonts w:ascii="Arial" w:hAnsi="Arial" w:cs="Arial"/>
          <w:i/>
        </w:rPr>
      </w:pPr>
      <w:r>
        <w:rPr>
          <w:rStyle w:val="Funotenzeichen"/>
        </w:rPr>
        <w:footnoteRef/>
      </w:r>
      <w:r>
        <w:t xml:space="preserve"> </w:t>
      </w:r>
      <w:r>
        <w:rPr>
          <w:rFonts w:ascii="Arial" w:hAnsi="Arial" w:cs="Arial"/>
          <w:i/>
        </w:rPr>
        <w:t xml:space="preserve"> U. Dehn,</w:t>
      </w:r>
      <w:r>
        <w:rPr>
          <w:rFonts w:ascii="Arial" w:hAnsi="Arial" w:cs="Arial"/>
        </w:rPr>
        <w:t xml:space="preserve"> Reine Friedfertigkeit? Zu den Gewaltpotentialen in Hinduismus und Buddhismus, in Herder Korrespondenz 66 (8/2012) 408-412; Zitate: 409.</w:t>
      </w:r>
      <w:r>
        <w:rPr>
          <w:rFonts w:ascii="Arial" w:hAnsi="Arial" w:cs="Arial"/>
          <w:i/>
        </w:rPr>
        <w:t xml:space="preserve"> </w:t>
      </w:r>
    </w:p>
  </w:footnote>
  <w:footnote w:id="10">
    <w:p w:rsidR="008807A1" w:rsidRDefault="008807A1" w:rsidP="00847C86">
      <w:pPr>
        <w:pStyle w:val="Funotentext"/>
        <w:jc w:val="both"/>
        <w:rPr>
          <w:rFonts w:ascii="Arial" w:hAnsi="Arial" w:cs="Arial"/>
        </w:rPr>
      </w:pPr>
      <w:r>
        <w:rPr>
          <w:rStyle w:val="Funotenzeichen"/>
        </w:rPr>
        <w:footnoteRef/>
      </w:r>
      <w:r>
        <w:t xml:space="preserve"> </w:t>
      </w:r>
      <w:r>
        <w:rPr>
          <w:rFonts w:ascii="Arial" w:hAnsi="Arial" w:cs="Arial"/>
        </w:rPr>
        <w:t xml:space="preserve">Wir greifen im Folgenden zurück auf </w:t>
      </w:r>
      <w:r>
        <w:rPr>
          <w:rFonts w:ascii="Arial" w:hAnsi="Arial" w:cs="Arial"/>
          <w:i/>
        </w:rPr>
        <w:t xml:space="preserve">L. </w:t>
      </w:r>
      <w:proofErr w:type="spellStart"/>
      <w:r>
        <w:rPr>
          <w:rFonts w:ascii="Arial" w:hAnsi="Arial" w:cs="Arial"/>
          <w:i/>
        </w:rPr>
        <w:t>Schmithausen</w:t>
      </w:r>
      <w:proofErr w:type="spellEnd"/>
      <w:r>
        <w:rPr>
          <w:rFonts w:ascii="Arial" w:hAnsi="Arial" w:cs="Arial"/>
          <w:i/>
        </w:rPr>
        <w:t xml:space="preserve">, </w:t>
      </w:r>
      <w:r>
        <w:rPr>
          <w:rFonts w:ascii="Arial" w:hAnsi="Arial" w:cs="Arial"/>
        </w:rPr>
        <w:t xml:space="preserve">Gewalt und Gewaltlosigkeit im Buddhismus. Zur Einführung, unter </w:t>
      </w:r>
      <w:hyperlink r:id="rId1" w:history="1">
        <w:r w:rsidRPr="009E38CB">
          <w:rPr>
            <w:rStyle w:val="Hyperlink"/>
            <w:rFonts w:ascii="Arial" w:hAnsi="Arial" w:cs="Arial"/>
          </w:rPr>
          <w:t>http://www.buddhismuskunde.uni-hamburg.de/fileadmin/pdf/digitale_texte/Bd2-K01Schmidthausen.pdf</w:t>
        </w:r>
      </w:hyperlink>
      <w:r>
        <w:rPr>
          <w:rFonts w:ascii="Arial" w:hAnsi="Arial" w:cs="Arial"/>
        </w:rPr>
        <w:t xml:space="preserve"> (Aufruf 17.12.2012); die folgenden Seitenzahlen im Text beziehen sich auf diesen Aufsatz.</w:t>
      </w:r>
    </w:p>
    <w:p w:rsidR="008807A1" w:rsidRPr="0070049C" w:rsidRDefault="008807A1" w:rsidP="00847C86">
      <w:pPr>
        <w:pStyle w:val="Funotentext"/>
        <w:jc w:val="both"/>
        <w:rPr>
          <w:rFonts w:ascii="Arial" w:hAnsi="Arial" w:cs="Arial"/>
        </w:rPr>
      </w:pPr>
      <w:r>
        <w:rPr>
          <w:rFonts w:ascii="Arial" w:hAnsi="Arial" w:cs="Arial"/>
        </w:rPr>
        <w:t xml:space="preserve">Für die Lehrrede s. </w:t>
      </w:r>
      <w:proofErr w:type="spellStart"/>
      <w:r w:rsidRPr="0070049C">
        <w:rPr>
          <w:rFonts w:ascii="Arial" w:hAnsi="Arial" w:cs="Arial"/>
          <w:i/>
        </w:rPr>
        <w:t>Anguttara</w:t>
      </w:r>
      <w:r>
        <w:rPr>
          <w:rFonts w:ascii="Arial" w:hAnsi="Arial" w:cs="Arial"/>
          <w:i/>
        </w:rPr>
        <w:t>nikāya</w:t>
      </w:r>
      <w:proofErr w:type="spellEnd"/>
      <w:r>
        <w:rPr>
          <w:rFonts w:ascii="Arial" w:hAnsi="Arial" w:cs="Arial"/>
          <w:i/>
        </w:rPr>
        <w:t xml:space="preserve"> </w:t>
      </w:r>
      <w:r>
        <w:rPr>
          <w:rFonts w:ascii="Arial" w:hAnsi="Arial" w:cs="Arial"/>
        </w:rPr>
        <w:t xml:space="preserve">IV.198; zitiert nach Übers. </w:t>
      </w:r>
      <w:proofErr w:type="spellStart"/>
      <w:r>
        <w:rPr>
          <w:rFonts w:ascii="Arial" w:hAnsi="Arial" w:cs="Arial"/>
          <w:i/>
        </w:rPr>
        <w:t>Nyanaponika</w:t>
      </w:r>
      <w:proofErr w:type="spellEnd"/>
      <w:r>
        <w:rPr>
          <w:rFonts w:ascii="Arial" w:hAnsi="Arial" w:cs="Arial"/>
          <w:i/>
        </w:rPr>
        <w:t>,</w:t>
      </w:r>
      <w:r>
        <w:rPr>
          <w:rFonts w:ascii="Arial" w:hAnsi="Arial" w:cs="Arial"/>
        </w:rPr>
        <w:t xml:space="preserve"> Die Lehrreden des </w:t>
      </w:r>
      <w:proofErr w:type="gramStart"/>
      <w:r>
        <w:rPr>
          <w:rFonts w:ascii="Arial" w:hAnsi="Arial" w:cs="Arial"/>
        </w:rPr>
        <w:t>Bu</w:t>
      </w:r>
      <w:r>
        <w:rPr>
          <w:rFonts w:ascii="Arial" w:hAnsi="Arial" w:cs="Arial"/>
        </w:rPr>
        <w:t>d</w:t>
      </w:r>
      <w:r>
        <w:rPr>
          <w:rFonts w:ascii="Arial" w:hAnsi="Arial" w:cs="Arial"/>
        </w:rPr>
        <w:t>dha</w:t>
      </w:r>
      <w:proofErr w:type="gramEnd"/>
      <w:r>
        <w:rPr>
          <w:rFonts w:ascii="Arial" w:hAnsi="Arial" w:cs="Arial"/>
          <w:i/>
        </w:rPr>
        <w:t xml:space="preserve"> </w:t>
      </w:r>
      <w:r>
        <w:rPr>
          <w:rFonts w:ascii="Arial" w:hAnsi="Arial" w:cs="Arial"/>
        </w:rPr>
        <w:t xml:space="preserve">aus der Angereihten Sammlung. Köln </w:t>
      </w:r>
      <w:r>
        <w:rPr>
          <w:rFonts w:ascii="Arial" w:hAnsi="Arial" w:cs="Arial"/>
          <w:vertAlign w:val="superscript"/>
        </w:rPr>
        <w:t>3</w:t>
      </w:r>
      <w:r>
        <w:rPr>
          <w:rFonts w:ascii="Arial" w:hAnsi="Arial" w:cs="Arial"/>
        </w:rPr>
        <w:t xml:space="preserve">1969. </w:t>
      </w:r>
      <w:r w:rsidRPr="0070049C">
        <w:rPr>
          <w:rFonts w:ascii="Arial" w:hAnsi="Arial" w:cs="Arial"/>
        </w:rPr>
        <w:t>Bd</w:t>
      </w:r>
      <w:r>
        <w:rPr>
          <w:rFonts w:ascii="Arial" w:hAnsi="Arial" w:cs="Arial"/>
        </w:rPr>
        <w:t>. II. 173-177; Zitate aus der Lehrrede im Text aus dieser Übersetzung..</w:t>
      </w:r>
    </w:p>
  </w:footnote>
  <w:footnote w:id="11">
    <w:p w:rsidR="008807A1" w:rsidRPr="00F376E0" w:rsidRDefault="008807A1" w:rsidP="00F376E0">
      <w:pPr>
        <w:pStyle w:val="Funotentext"/>
        <w:jc w:val="both"/>
        <w:rPr>
          <w:rFonts w:ascii="Arial" w:hAnsi="Arial" w:cs="Arial"/>
        </w:rPr>
      </w:pPr>
      <w:r>
        <w:rPr>
          <w:rStyle w:val="Funotenzeichen"/>
        </w:rPr>
        <w:footnoteRef/>
      </w:r>
      <w:r w:rsidRPr="00F376E0">
        <w:rPr>
          <w:lang w:val="en-US"/>
        </w:rPr>
        <w:t xml:space="preserve"> </w:t>
      </w:r>
      <w:proofErr w:type="gramStart"/>
      <w:r w:rsidRPr="00F376E0">
        <w:rPr>
          <w:rFonts w:ascii="Arial" w:hAnsi="Arial" w:cs="Arial"/>
          <w:lang w:val="en-US"/>
        </w:rPr>
        <w:t xml:space="preserve">Vgl. </w:t>
      </w:r>
      <w:proofErr w:type="spellStart"/>
      <w:r w:rsidRPr="00F376E0">
        <w:rPr>
          <w:rFonts w:ascii="Arial" w:hAnsi="Arial" w:cs="Arial"/>
          <w:lang w:val="en-US"/>
        </w:rPr>
        <w:t>dazu</w:t>
      </w:r>
      <w:proofErr w:type="spellEnd"/>
      <w:r w:rsidRPr="00F376E0">
        <w:rPr>
          <w:rFonts w:ascii="Arial" w:hAnsi="Arial" w:cs="Arial"/>
          <w:lang w:val="en-US"/>
        </w:rPr>
        <w:t xml:space="preserve"> </w:t>
      </w:r>
      <w:r w:rsidRPr="00F376E0">
        <w:rPr>
          <w:rFonts w:ascii="Arial" w:hAnsi="Arial" w:cs="Arial"/>
          <w:i/>
          <w:lang w:val="en-US"/>
        </w:rPr>
        <w:t xml:space="preserve">P. Harvey, </w:t>
      </w:r>
      <w:r>
        <w:rPr>
          <w:rFonts w:ascii="Arial" w:hAnsi="Arial" w:cs="Arial"/>
          <w:lang w:val="en-US"/>
        </w:rPr>
        <w:t>An Introduction to Buddhist</w:t>
      </w:r>
      <w:r w:rsidRPr="00F376E0">
        <w:rPr>
          <w:rFonts w:ascii="Arial" w:hAnsi="Arial" w:cs="Arial"/>
          <w:lang w:val="en-US"/>
        </w:rPr>
        <w:t xml:space="preserve"> Ethics.</w:t>
      </w:r>
      <w:proofErr w:type="gramEnd"/>
      <w:r>
        <w:rPr>
          <w:rFonts w:ascii="Arial" w:hAnsi="Arial" w:cs="Arial"/>
          <w:lang w:val="en-US"/>
        </w:rPr>
        <w:t xml:space="preserve"> </w:t>
      </w:r>
      <w:r w:rsidRPr="00F376E0">
        <w:rPr>
          <w:rFonts w:ascii="Arial" w:hAnsi="Arial" w:cs="Arial"/>
        </w:rPr>
        <w:t xml:space="preserve">Cambridge 2002, 66-68; auch </w:t>
      </w:r>
      <w:r>
        <w:rPr>
          <w:rFonts w:ascii="Arial" w:hAnsi="Arial" w:cs="Arial"/>
          <w:i/>
        </w:rPr>
        <w:t>O. Fr</w:t>
      </w:r>
      <w:r w:rsidRPr="00F376E0">
        <w:rPr>
          <w:rFonts w:ascii="Arial" w:hAnsi="Arial" w:cs="Arial"/>
          <w:i/>
        </w:rPr>
        <w:t xml:space="preserve">eiberger / </w:t>
      </w:r>
      <w:proofErr w:type="spellStart"/>
      <w:r w:rsidRPr="00F376E0">
        <w:rPr>
          <w:rFonts w:ascii="Arial" w:hAnsi="Arial" w:cs="Arial"/>
          <w:i/>
        </w:rPr>
        <w:t>Ch</w:t>
      </w:r>
      <w:proofErr w:type="spellEnd"/>
      <w:r w:rsidRPr="00F376E0">
        <w:rPr>
          <w:rFonts w:ascii="Arial" w:hAnsi="Arial" w:cs="Arial"/>
          <w:i/>
        </w:rPr>
        <w:t>.</w:t>
      </w:r>
      <w:r>
        <w:rPr>
          <w:rFonts w:ascii="Arial" w:hAnsi="Arial" w:cs="Arial"/>
          <w:i/>
        </w:rPr>
        <w:t xml:space="preserve"> Kleine, </w:t>
      </w:r>
      <w:r>
        <w:rPr>
          <w:rFonts w:ascii="Arial" w:hAnsi="Arial" w:cs="Arial"/>
        </w:rPr>
        <w:t>Buddhismus. Handbuch und kritische Einführung. Göttingen 2011, 302f.</w:t>
      </w:r>
      <w:r w:rsidRPr="00F376E0">
        <w:rPr>
          <w:rFonts w:ascii="Arial" w:hAnsi="Arial" w:cs="Arial"/>
        </w:rPr>
        <w:t xml:space="preserve"> </w:t>
      </w:r>
    </w:p>
  </w:footnote>
  <w:footnote w:id="12">
    <w:p w:rsidR="008807A1" w:rsidRPr="00F50F6E" w:rsidRDefault="008807A1" w:rsidP="00F50F6E">
      <w:pPr>
        <w:pStyle w:val="Funotentext"/>
        <w:jc w:val="both"/>
        <w:rPr>
          <w:rFonts w:ascii="Arial" w:hAnsi="Arial" w:cs="Arial"/>
        </w:rPr>
      </w:pPr>
      <w:r>
        <w:rPr>
          <w:rStyle w:val="Funotenzeichen"/>
        </w:rPr>
        <w:footnoteRef/>
      </w:r>
      <w:r>
        <w:t xml:space="preserve"> </w:t>
      </w:r>
      <w:r>
        <w:rPr>
          <w:rFonts w:ascii="Arial" w:hAnsi="Arial" w:cs="Arial"/>
        </w:rPr>
        <w:t xml:space="preserve">Vgl. bei </w:t>
      </w:r>
      <w:r>
        <w:rPr>
          <w:rFonts w:ascii="Arial" w:hAnsi="Arial" w:cs="Arial"/>
          <w:i/>
        </w:rPr>
        <w:t xml:space="preserve">P. Harvey </w:t>
      </w:r>
      <w:r>
        <w:rPr>
          <w:rFonts w:ascii="Arial" w:hAnsi="Arial" w:cs="Arial"/>
        </w:rPr>
        <w:t xml:space="preserve">(A. 12) das Kapitel </w:t>
      </w:r>
      <w:r>
        <w:rPr>
          <w:rFonts w:ascii="Arial" w:hAnsi="Arial" w:cs="Arial"/>
          <w:i/>
        </w:rPr>
        <w:t xml:space="preserve">6. War </w:t>
      </w:r>
      <w:proofErr w:type="spellStart"/>
      <w:r>
        <w:rPr>
          <w:rFonts w:ascii="Arial" w:hAnsi="Arial" w:cs="Arial"/>
          <w:i/>
        </w:rPr>
        <w:t>and</w:t>
      </w:r>
      <w:proofErr w:type="spellEnd"/>
      <w:r>
        <w:rPr>
          <w:rFonts w:ascii="Arial" w:hAnsi="Arial" w:cs="Arial"/>
          <w:i/>
        </w:rPr>
        <w:t xml:space="preserve"> </w:t>
      </w:r>
      <w:proofErr w:type="spellStart"/>
      <w:r>
        <w:rPr>
          <w:rFonts w:ascii="Arial" w:hAnsi="Arial" w:cs="Arial"/>
          <w:i/>
        </w:rPr>
        <w:t>Peace</w:t>
      </w:r>
      <w:proofErr w:type="spellEnd"/>
      <w:r>
        <w:rPr>
          <w:rFonts w:ascii="Arial" w:hAnsi="Arial" w:cs="Arial"/>
          <w:i/>
        </w:rPr>
        <w:t xml:space="preserve"> (</w:t>
      </w:r>
      <w:r>
        <w:rPr>
          <w:rFonts w:ascii="Arial" w:hAnsi="Arial" w:cs="Arial"/>
        </w:rPr>
        <w:t>239-285), darin auch Stellungnahmen zu den postkolonialen Konflikten in den südostasiatischen Staaten..</w:t>
      </w:r>
    </w:p>
  </w:footnote>
  <w:footnote w:id="13">
    <w:p w:rsidR="00585EC6" w:rsidRPr="00585EC6" w:rsidRDefault="00585EC6" w:rsidP="00585EC6">
      <w:pPr>
        <w:pStyle w:val="Funotentext"/>
        <w:jc w:val="both"/>
        <w:rPr>
          <w:rFonts w:ascii="Arial" w:hAnsi="Arial" w:cs="Arial"/>
        </w:rPr>
      </w:pPr>
      <w:r>
        <w:rPr>
          <w:rStyle w:val="Funotenzeichen"/>
        </w:rPr>
        <w:footnoteRef/>
      </w:r>
      <w:r w:rsidR="001E41A0">
        <w:t xml:space="preserve"> </w:t>
      </w:r>
      <w:r w:rsidR="001E41A0">
        <w:rPr>
          <w:rFonts w:ascii="Arial" w:hAnsi="Arial" w:cs="Arial"/>
        </w:rPr>
        <w:t xml:space="preserve">Für China sei auf die </w:t>
      </w:r>
      <w:r>
        <w:rPr>
          <w:rFonts w:ascii="Arial" w:hAnsi="Arial" w:cs="Arial"/>
        </w:rPr>
        <w:t>fakten</w:t>
      </w:r>
      <w:r w:rsidR="001E41A0">
        <w:rPr>
          <w:rFonts w:ascii="Arial" w:hAnsi="Arial" w:cs="Arial"/>
        </w:rPr>
        <w:t>- und kenntnis</w:t>
      </w:r>
      <w:r>
        <w:rPr>
          <w:rFonts w:ascii="Arial" w:hAnsi="Arial" w:cs="Arial"/>
        </w:rPr>
        <w:t xml:space="preserve">reiche Magisterarbeit von </w:t>
      </w:r>
      <w:r>
        <w:rPr>
          <w:rFonts w:ascii="Arial" w:hAnsi="Arial" w:cs="Arial"/>
          <w:i/>
        </w:rPr>
        <w:t xml:space="preserve">Nikolas </w:t>
      </w:r>
      <w:proofErr w:type="spellStart"/>
      <w:r>
        <w:rPr>
          <w:rFonts w:ascii="Arial" w:hAnsi="Arial" w:cs="Arial"/>
          <w:i/>
        </w:rPr>
        <w:t>Broy</w:t>
      </w:r>
      <w:proofErr w:type="spellEnd"/>
      <w:r>
        <w:rPr>
          <w:rFonts w:ascii="Arial" w:hAnsi="Arial" w:cs="Arial"/>
          <w:i/>
        </w:rPr>
        <w:t xml:space="preserve"> </w:t>
      </w:r>
      <w:r>
        <w:rPr>
          <w:rFonts w:ascii="Arial" w:hAnsi="Arial" w:cs="Arial"/>
        </w:rPr>
        <w:t xml:space="preserve">verwiesen, die unter dem Titel: Buddhismus und Gewalt: Am Beispiel kriegerischer Mönche in China </w:t>
      </w:r>
      <w:r w:rsidR="001E41A0">
        <w:rPr>
          <w:rFonts w:ascii="Arial" w:hAnsi="Arial" w:cs="Arial"/>
        </w:rPr>
        <w:t>unter der Le</w:t>
      </w:r>
      <w:r w:rsidR="001E41A0">
        <w:rPr>
          <w:rFonts w:ascii="Arial" w:hAnsi="Arial" w:cs="Arial"/>
        </w:rPr>
        <w:t>i</w:t>
      </w:r>
      <w:r w:rsidR="001E41A0">
        <w:rPr>
          <w:rFonts w:ascii="Arial" w:hAnsi="Arial" w:cs="Arial"/>
        </w:rPr>
        <w:t xml:space="preserve">tung von Prof. Dr. Hubert </w:t>
      </w:r>
      <w:proofErr w:type="spellStart"/>
      <w:r w:rsidR="001E41A0">
        <w:rPr>
          <w:rFonts w:ascii="Arial" w:hAnsi="Arial" w:cs="Arial"/>
        </w:rPr>
        <w:t>Seiwerth</w:t>
      </w:r>
      <w:proofErr w:type="spellEnd"/>
      <w:r w:rsidR="001E41A0">
        <w:rPr>
          <w:rFonts w:ascii="Arial" w:hAnsi="Arial" w:cs="Arial"/>
        </w:rPr>
        <w:t xml:space="preserve"> erarbeitet und 2006 abgeschlossen wurde; vgl. </w:t>
      </w:r>
      <w:hyperlink r:id="rId2" w:history="1">
        <w:r w:rsidR="00C51363" w:rsidRPr="0042669B">
          <w:rPr>
            <w:rStyle w:val="Hyperlink"/>
            <w:rFonts w:ascii="Arial" w:hAnsi="Arial" w:cs="Arial"/>
          </w:rPr>
          <w:t>https://mahara.uni-leipzig.de//artefact/file/download.php?file=174178view=1063</w:t>
        </w:r>
      </w:hyperlink>
      <w:r w:rsidR="001E41A0">
        <w:rPr>
          <w:rFonts w:ascii="Arial" w:hAnsi="Arial" w:cs="Arial"/>
        </w:rPr>
        <w:t xml:space="preserve"> (Aufruf 17.12.2012)</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1" w:rsidRDefault="008807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4509"/>
      <w:docPartObj>
        <w:docPartGallery w:val="Page Numbers (Top of Page)"/>
        <w:docPartUnique/>
      </w:docPartObj>
    </w:sdtPr>
    <w:sdtEndPr/>
    <w:sdtContent>
      <w:p w:rsidR="008807A1" w:rsidRDefault="008807A1" w:rsidP="00B2654D">
        <w:pPr>
          <w:pStyle w:val="Kopfzeile"/>
          <w:jc w:val="center"/>
        </w:pPr>
        <w:r>
          <w:fldChar w:fldCharType="begin"/>
        </w:r>
        <w:r>
          <w:instrText>PAGE   \* MERGEFORMAT</w:instrText>
        </w:r>
        <w:r>
          <w:fldChar w:fldCharType="separate"/>
        </w:r>
        <w:r w:rsidR="000B1DA6">
          <w:rPr>
            <w:noProof/>
          </w:rPr>
          <w:t>1</w:t>
        </w:r>
        <w:r>
          <w:fldChar w:fldCharType="end"/>
        </w:r>
      </w:p>
    </w:sdtContent>
  </w:sdt>
  <w:p w:rsidR="008807A1" w:rsidRDefault="008807A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1" w:rsidRDefault="008807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F6BCD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3C"/>
    <w:rsid w:val="0000120A"/>
    <w:rsid w:val="00013C05"/>
    <w:rsid w:val="00016AC2"/>
    <w:rsid w:val="00017C9E"/>
    <w:rsid w:val="00017F6A"/>
    <w:rsid w:val="000420BD"/>
    <w:rsid w:val="0006622C"/>
    <w:rsid w:val="0007446E"/>
    <w:rsid w:val="000775F7"/>
    <w:rsid w:val="00092E36"/>
    <w:rsid w:val="000B1BB4"/>
    <w:rsid w:val="000B1DA6"/>
    <w:rsid w:val="000C3DFD"/>
    <w:rsid w:val="000C42ED"/>
    <w:rsid w:val="000E0FFF"/>
    <w:rsid w:val="000E2A97"/>
    <w:rsid w:val="000E5593"/>
    <w:rsid w:val="000F3A13"/>
    <w:rsid w:val="001051BB"/>
    <w:rsid w:val="00120F06"/>
    <w:rsid w:val="0014336F"/>
    <w:rsid w:val="00167064"/>
    <w:rsid w:val="00170725"/>
    <w:rsid w:val="00174B47"/>
    <w:rsid w:val="001822EC"/>
    <w:rsid w:val="001C7AB0"/>
    <w:rsid w:val="001D77DE"/>
    <w:rsid w:val="001E41A0"/>
    <w:rsid w:val="001E6CC6"/>
    <w:rsid w:val="001F00D2"/>
    <w:rsid w:val="001F1CE3"/>
    <w:rsid w:val="0020341C"/>
    <w:rsid w:val="002063B8"/>
    <w:rsid w:val="00210D74"/>
    <w:rsid w:val="00212305"/>
    <w:rsid w:val="0021571E"/>
    <w:rsid w:val="00216EAF"/>
    <w:rsid w:val="00240168"/>
    <w:rsid w:val="002472D6"/>
    <w:rsid w:val="002535B8"/>
    <w:rsid w:val="00280910"/>
    <w:rsid w:val="0029538F"/>
    <w:rsid w:val="002966FE"/>
    <w:rsid w:val="00296FCF"/>
    <w:rsid w:val="002C1F33"/>
    <w:rsid w:val="002E727E"/>
    <w:rsid w:val="00307DB2"/>
    <w:rsid w:val="003115DA"/>
    <w:rsid w:val="0036610E"/>
    <w:rsid w:val="0036749E"/>
    <w:rsid w:val="00372C7E"/>
    <w:rsid w:val="00372E54"/>
    <w:rsid w:val="00374CC1"/>
    <w:rsid w:val="00374D0B"/>
    <w:rsid w:val="00392F6A"/>
    <w:rsid w:val="00411F5F"/>
    <w:rsid w:val="004150D6"/>
    <w:rsid w:val="004248B1"/>
    <w:rsid w:val="00477472"/>
    <w:rsid w:val="00480D25"/>
    <w:rsid w:val="004859E5"/>
    <w:rsid w:val="004C3EE0"/>
    <w:rsid w:val="004D0E72"/>
    <w:rsid w:val="004E2801"/>
    <w:rsid w:val="004F4FB0"/>
    <w:rsid w:val="00500BF1"/>
    <w:rsid w:val="00515F15"/>
    <w:rsid w:val="00585EC6"/>
    <w:rsid w:val="00586474"/>
    <w:rsid w:val="00586BA8"/>
    <w:rsid w:val="00587080"/>
    <w:rsid w:val="005B35B9"/>
    <w:rsid w:val="005B588F"/>
    <w:rsid w:val="005D57E3"/>
    <w:rsid w:val="0061511B"/>
    <w:rsid w:val="006230B2"/>
    <w:rsid w:val="00633EC4"/>
    <w:rsid w:val="00634C86"/>
    <w:rsid w:val="00641E20"/>
    <w:rsid w:val="00642139"/>
    <w:rsid w:val="00653202"/>
    <w:rsid w:val="00675DFA"/>
    <w:rsid w:val="006A1AF4"/>
    <w:rsid w:val="006A219C"/>
    <w:rsid w:val="006C3A3A"/>
    <w:rsid w:val="006D1FDB"/>
    <w:rsid w:val="006E591A"/>
    <w:rsid w:val="006F5CA0"/>
    <w:rsid w:val="006F7CDE"/>
    <w:rsid w:val="00700006"/>
    <w:rsid w:val="0070049C"/>
    <w:rsid w:val="00705CEA"/>
    <w:rsid w:val="00711ADF"/>
    <w:rsid w:val="00741941"/>
    <w:rsid w:val="007531A5"/>
    <w:rsid w:val="00773ADE"/>
    <w:rsid w:val="0079110C"/>
    <w:rsid w:val="007A7EB5"/>
    <w:rsid w:val="007B137F"/>
    <w:rsid w:val="007D5B4D"/>
    <w:rsid w:val="007D787B"/>
    <w:rsid w:val="008154A4"/>
    <w:rsid w:val="00833E45"/>
    <w:rsid w:val="008445D3"/>
    <w:rsid w:val="00847C86"/>
    <w:rsid w:val="00850C27"/>
    <w:rsid w:val="00874375"/>
    <w:rsid w:val="008807A1"/>
    <w:rsid w:val="0088226A"/>
    <w:rsid w:val="00893A89"/>
    <w:rsid w:val="008C59D9"/>
    <w:rsid w:val="008D6400"/>
    <w:rsid w:val="008E6F24"/>
    <w:rsid w:val="008F3B3A"/>
    <w:rsid w:val="00921F9B"/>
    <w:rsid w:val="009424D5"/>
    <w:rsid w:val="00946130"/>
    <w:rsid w:val="0096725D"/>
    <w:rsid w:val="00967A96"/>
    <w:rsid w:val="00990310"/>
    <w:rsid w:val="00994F72"/>
    <w:rsid w:val="009D3316"/>
    <w:rsid w:val="009E2A20"/>
    <w:rsid w:val="009F2820"/>
    <w:rsid w:val="009F51E6"/>
    <w:rsid w:val="009F7922"/>
    <w:rsid w:val="00A2644C"/>
    <w:rsid w:val="00A34A5E"/>
    <w:rsid w:val="00A35B8A"/>
    <w:rsid w:val="00A419CD"/>
    <w:rsid w:val="00A44133"/>
    <w:rsid w:val="00A53DF0"/>
    <w:rsid w:val="00A67E03"/>
    <w:rsid w:val="00A82D83"/>
    <w:rsid w:val="00A833BC"/>
    <w:rsid w:val="00A84E3C"/>
    <w:rsid w:val="00A85AAF"/>
    <w:rsid w:val="00A96119"/>
    <w:rsid w:val="00A97F31"/>
    <w:rsid w:val="00AD597C"/>
    <w:rsid w:val="00AE4C08"/>
    <w:rsid w:val="00B05ED5"/>
    <w:rsid w:val="00B10735"/>
    <w:rsid w:val="00B2654D"/>
    <w:rsid w:val="00B339A5"/>
    <w:rsid w:val="00B40751"/>
    <w:rsid w:val="00B43169"/>
    <w:rsid w:val="00B4781A"/>
    <w:rsid w:val="00B72756"/>
    <w:rsid w:val="00B7356A"/>
    <w:rsid w:val="00B968AE"/>
    <w:rsid w:val="00BB5A20"/>
    <w:rsid w:val="00BC0598"/>
    <w:rsid w:val="00BC44DF"/>
    <w:rsid w:val="00BC7639"/>
    <w:rsid w:val="00C0053B"/>
    <w:rsid w:val="00C00F81"/>
    <w:rsid w:val="00C03460"/>
    <w:rsid w:val="00C06E17"/>
    <w:rsid w:val="00C11777"/>
    <w:rsid w:val="00C51363"/>
    <w:rsid w:val="00C5527C"/>
    <w:rsid w:val="00C5694E"/>
    <w:rsid w:val="00CA4866"/>
    <w:rsid w:val="00CE0D11"/>
    <w:rsid w:val="00CF2254"/>
    <w:rsid w:val="00D03E11"/>
    <w:rsid w:val="00D05B64"/>
    <w:rsid w:val="00D215CC"/>
    <w:rsid w:val="00D436A0"/>
    <w:rsid w:val="00D47D10"/>
    <w:rsid w:val="00D50BEF"/>
    <w:rsid w:val="00D5111D"/>
    <w:rsid w:val="00D5688E"/>
    <w:rsid w:val="00DA564F"/>
    <w:rsid w:val="00DB3BDF"/>
    <w:rsid w:val="00DB68CA"/>
    <w:rsid w:val="00DB6BB0"/>
    <w:rsid w:val="00DC6A92"/>
    <w:rsid w:val="00DD007F"/>
    <w:rsid w:val="00DE0710"/>
    <w:rsid w:val="00DE35EB"/>
    <w:rsid w:val="00E04BB5"/>
    <w:rsid w:val="00E06504"/>
    <w:rsid w:val="00E225C4"/>
    <w:rsid w:val="00E22EAC"/>
    <w:rsid w:val="00E3487F"/>
    <w:rsid w:val="00E3752F"/>
    <w:rsid w:val="00E524FD"/>
    <w:rsid w:val="00E53AE1"/>
    <w:rsid w:val="00E600B3"/>
    <w:rsid w:val="00E813F6"/>
    <w:rsid w:val="00EA26FF"/>
    <w:rsid w:val="00EA3DC7"/>
    <w:rsid w:val="00EC354C"/>
    <w:rsid w:val="00EC586C"/>
    <w:rsid w:val="00EE0ECA"/>
    <w:rsid w:val="00EE784C"/>
    <w:rsid w:val="00F07B08"/>
    <w:rsid w:val="00F155B2"/>
    <w:rsid w:val="00F27BD7"/>
    <w:rsid w:val="00F32887"/>
    <w:rsid w:val="00F376E0"/>
    <w:rsid w:val="00F50F6E"/>
    <w:rsid w:val="00F55A21"/>
    <w:rsid w:val="00F71DA4"/>
    <w:rsid w:val="00F72FC4"/>
    <w:rsid w:val="00F74689"/>
    <w:rsid w:val="00F97954"/>
    <w:rsid w:val="00FE1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155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5B2"/>
    <w:rPr>
      <w:sz w:val="20"/>
      <w:szCs w:val="20"/>
    </w:rPr>
  </w:style>
  <w:style w:type="character" w:styleId="Funotenzeichen">
    <w:name w:val="footnote reference"/>
    <w:basedOn w:val="Absatz-Standardschriftart"/>
    <w:uiPriority w:val="99"/>
    <w:semiHidden/>
    <w:unhideWhenUsed/>
    <w:rsid w:val="00F155B2"/>
    <w:rPr>
      <w:vertAlign w:val="superscript"/>
    </w:rPr>
  </w:style>
  <w:style w:type="paragraph" w:styleId="Kopfzeile">
    <w:name w:val="header"/>
    <w:basedOn w:val="Standard"/>
    <w:link w:val="KopfzeileZchn"/>
    <w:uiPriority w:val="99"/>
    <w:unhideWhenUsed/>
    <w:rsid w:val="00B265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54D"/>
  </w:style>
  <w:style w:type="paragraph" w:styleId="Fuzeile">
    <w:name w:val="footer"/>
    <w:basedOn w:val="Standard"/>
    <w:link w:val="FuzeileZchn"/>
    <w:uiPriority w:val="99"/>
    <w:unhideWhenUsed/>
    <w:rsid w:val="00B2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54D"/>
  </w:style>
  <w:style w:type="character" w:styleId="Hyperlink">
    <w:name w:val="Hyperlink"/>
    <w:basedOn w:val="Absatz-Standardschriftart"/>
    <w:uiPriority w:val="99"/>
    <w:unhideWhenUsed/>
    <w:rsid w:val="00374D0B"/>
    <w:rPr>
      <w:color w:val="0000FF" w:themeColor="hyperlink"/>
      <w:u w:val="single"/>
    </w:rPr>
  </w:style>
  <w:style w:type="paragraph" w:styleId="Aufzhlungszeichen">
    <w:name w:val="List Bullet"/>
    <w:basedOn w:val="Standard"/>
    <w:uiPriority w:val="99"/>
    <w:unhideWhenUsed/>
    <w:rsid w:val="006D1FD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155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55B2"/>
    <w:rPr>
      <w:sz w:val="20"/>
      <w:szCs w:val="20"/>
    </w:rPr>
  </w:style>
  <w:style w:type="character" w:styleId="Funotenzeichen">
    <w:name w:val="footnote reference"/>
    <w:basedOn w:val="Absatz-Standardschriftart"/>
    <w:uiPriority w:val="99"/>
    <w:semiHidden/>
    <w:unhideWhenUsed/>
    <w:rsid w:val="00F155B2"/>
    <w:rPr>
      <w:vertAlign w:val="superscript"/>
    </w:rPr>
  </w:style>
  <w:style w:type="paragraph" w:styleId="Kopfzeile">
    <w:name w:val="header"/>
    <w:basedOn w:val="Standard"/>
    <w:link w:val="KopfzeileZchn"/>
    <w:uiPriority w:val="99"/>
    <w:unhideWhenUsed/>
    <w:rsid w:val="00B265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54D"/>
  </w:style>
  <w:style w:type="paragraph" w:styleId="Fuzeile">
    <w:name w:val="footer"/>
    <w:basedOn w:val="Standard"/>
    <w:link w:val="FuzeileZchn"/>
    <w:uiPriority w:val="99"/>
    <w:unhideWhenUsed/>
    <w:rsid w:val="00B2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54D"/>
  </w:style>
  <w:style w:type="character" w:styleId="Hyperlink">
    <w:name w:val="Hyperlink"/>
    <w:basedOn w:val="Absatz-Standardschriftart"/>
    <w:uiPriority w:val="99"/>
    <w:unhideWhenUsed/>
    <w:rsid w:val="00374D0B"/>
    <w:rPr>
      <w:color w:val="0000FF" w:themeColor="hyperlink"/>
      <w:u w:val="single"/>
    </w:rPr>
  </w:style>
  <w:style w:type="paragraph" w:styleId="Aufzhlungszeichen">
    <w:name w:val="List Bullet"/>
    <w:basedOn w:val="Standard"/>
    <w:uiPriority w:val="99"/>
    <w:unhideWhenUsed/>
    <w:rsid w:val="006D1FD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mahara.uni-leipzig.de//artefact/file/download.php?file=174178view=1063" TargetMode="External"/><Relationship Id="rId1" Type="http://schemas.openxmlformats.org/officeDocument/2006/relationships/hyperlink" Target="http://www.buddhismuskunde.uni-hamburg.de/fileadmin/pdf/digitale_texte/Bd2-K01Schmidthaus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E68C-635B-4E2B-BEB6-979C0EF0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2589</Words>
  <Characters>16313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2013-07-29T07:00:00Z</dcterms:created>
  <dcterms:modified xsi:type="dcterms:W3CDTF">2013-09-26T08:50:00Z</dcterms:modified>
</cp:coreProperties>
</file>